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jc w:val="center"/>
        <w:tabs defTabSz="708">
          <w:tab w:val="left" w:pos="11467" w:leader="none"/>
        </w:tabs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МИНИСТЕРСТВО ПРОСВЕЩЕНИЯ РОССИЙСКОЙ ФЕДЕРАЦИИ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Управление образования администрации Вагайского муниципального района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>Муниципальное автономное общеобразовательное учреждение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 xml:space="preserve">Бегишевская средняя общеобразовательная школа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>Вагайского района Тюменской области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inline distT="0" distB="0" distL="114300" distR="114300">
            <wp:extent cx="7085965" cy="1955165"/>
            <wp:effectExtent l="0" t="0" r="0" b="0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extLst>
                        <a:ext uri="smNativeData">
                          <sm:smNativeData xmlns:sm="smNativeData" val="SMDATA_16_efRBZ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1gQAANgCAAAAAAAASgYAAAAAAABkAAAAZAAAAAAAAAAjAAAABAAAAGQAAAAXAAAAFAAAAJcrAAAHDAAAlysAAAcM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GAAAAAIIAAAAAAAAAAAAAAAAAAAAAAABDBQAAAAAAAAAAAACPCgAAlysAAAcMAAAAAAAAQwUAAI8KAAAoAAAACAAAAAEAAAABAAAA"/>
                        </a:ext>
                      </a:extLst>
                    </pic:cNvPicPr>
                  </pic:nvPicPr>
                  <pic:blipFill>
                    <a:blip r:embed="rId8"/>
                    <a:srcRect l="12380" t="7280" b="16100"/>
                    <a:stretch>
                      <a:fillRect/>
                    </a:stretch>
                  </pic:blipFill>
                  <pic:spPr>
                    <a:xfrm>
                      <a:off x="0" y="0"/>
                      <a:ext cx="7085965" cy="19551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36"/>
          <w:szCs w:val="36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Рабочая программа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учебному предмету</w:t>
      </w:r>
    </w:p>
    <w:p>
      <w:pPr>
        <w:spacing w:after="0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>
        <w:rPr>
          <w:rFonts w:ascii="Times New Roman" w:hAnsi="Times New Roman"/>
          <w:b/>
          <w:iCs/>
          <w:sz w:val="36"/>
          <w:szCs w:val="36"/>
        </w:rPr>
        <w:t>«Химия»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11 класс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</w:r>
    </w:p>
    <w:p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Составитель: учитель  Попов П.П.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Супра 2023 год</w:t>
      </w:r>
    </w:p>
    <w:p>
      <w:pPr>
        <w:spacing w:after="0" w:line="240" w:lineRule="auto"/>
        <w:tabs defTabSz="708">
          <w:tab w:val="left" w:pos="11467" w:leader="none"/>
        </w:tabs>
        <w:rPr>
          <w:rFonts w:ascii="Times New Roman" w:hAnsi="Times New Roman" w:eastAsia="Times New Roman"/>
          <w:b/>
          <w:bCs/>
          <w:color w:val="366091"/>
          <w:sz w:val="24"/>
          <w:szCs w:val="24"/>
          <w:lang w:eastAsia="ru-ru"/>
        </w:rPr>
      </w:pPr>
      <w:r>
        <w:rPr>
          <w:b/>
          <w:bCs/>
        </w:rPr>
      </w:r>
      <w:bookmarkStart w:id="0" w:name="_GoBack"/>
      <w:r>
        <w:rPr>
          <w:b/>
          <w:bCs/>
        </w:rPr>
      </w:r>
      <w:bookmarkEnd w:id="0"/>
      <w:r>
        <w:rPr>
          <w:b/>
          <w:bCs/>
        </w:rPr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  <w:r>
        <w:rPr>
          <w:rFonts w:ascii="Times New Roman" w:hAnsi="Times New Roman" w:eastAsia="Times New Roman"/>
          <w:b/>
          <w:bCs/>
          <w:color w:val="366091"/>
          <w:sz w:val="24"/>
          <w:szCs w:val="24"/>
          <w:lang w:eastAsia="ru-ru"/>
        </w:rPr>
      </w:r>
    </w:p>
    <w:p>
      <w:pPr>
        <w:ind w:firstLine="71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Программа обеспечивает формирование личностных, метапредметных и предметных результатов.</w:t>
      </w:r>
    </w:p>
    <w:p>
      <w:pPr>
        <w:ind w:firstLine="71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color="auto" w:val="single"/>
          <w:lang w:eastAsia="ru-ru"/>
        </w:rPr>
        <w:t>Личностные: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неприятие вредных привычек: курения, употребления алкоголя, наркотиков.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>
      <w:pPr>
        <w:numPr>
          <w:ilvl w:val="0"/>
          <w:numId w:val="5"/>
        </w:numPr>
        <w:ind w:left="0" w:firstLine="358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>
      <w:pPr>
        <w:ind w:firstLine="71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color="auto" w:val="single"/>
          <w:lang w:eastAsia="ru-ru"/>
        </w:rPr>
        <w:t>Метапредметные: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ind w:firstLine="71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u w:color="auto" w:val="single"/>
          <w:lang w:eastAsia="ru-ru"/>
        </w:rPr>
        <w:t>Регулятивные универсальные учебные действия: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>
      <w:pPr>
        <w:numPr>
          <w:ilvl w:val="0"/>
          <w:numId w:val="3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numPr>
          <w:ilvl w:val="0"/>
          <w:numId w:val="3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>
      <w:pPr>
        <w:numPr>
          <w:ilvl w:val="0"/>
          <w:numId w:val="3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>
      <w:pPr>
        <w:numPr>
          <w:ilvl w:val="0"/>
          <w:numId w:val="3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>
      <w:pPr>
        <w:ind w:firstLine="71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u w:color="auto" w:val="single"/>
          <w:lang w:eastAsia="ru-ru"/>
        </w:rPr>
        <w:t>Познавательные универсальные учебные действия: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>
      <w:pPr>
        <w:numPr>
          <w:ilvl w:val="0"/>
          <w:numId w:val="6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>
      <w:pPr>
        <w:numPr>
          <w:ilvl w:val="0"/>
          <w:numId w:val="6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>
      <w:pPr>
        <w:numPr>
          <w:ilvl w:val="0"/>
          <w:numId w:val="6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>
      <w:pPr>
        <w:numPr>
          <w:ilvl w:val="0"/>
          <w:numId w:val="6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>
      <w:pPr>
        <w:ind w:firstLine="71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u w:color="auto" w:val="single"/>
          <w:lang w:eastAsia="ru-ru"/>
        </w:rPr>
        <w:t>Коммуникативные универсальные учебные действия: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>
      <w:pPr>
        <w:numPr>
          <w:ilvl w:val="0"/>
          <w:numId w:val="2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>
      <w:pPr>
        <w:numPr>
          <w:ilvl w:val="0"/>
          <w:numId w:val="2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>
      <w:pPr>
        <w:ind w:firstLine="71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u w:color="auto" w:val="single"/>
          <w:lang w:eastAsia="ru-ru"/>
        </w:rPr>
        <w:t>Предметные: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демонстрировать на примерах взаимосвязь между химией и другими естественными науками;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раскрывать на примерах положения теории химического строения А.М. Бутлерова;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объяснять причины многообразия веществ на основе общих представлений об их составе и строении;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владеть правилами и приемами безопасной работы с химическими веществами и лабораторным оборудованием;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приводить примеры гидролиза солей в повседневной жизни человека;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осуществлять поиск химической информации по названиям, идентификаторам, структурным формулам веществ;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>
      <w:pPr>
        <w:numPr>
          <w:ilvl w:val="0"/>
          <w:numId w:val="4"/>
        </w:numPr>
        <w:ind w:left="552" w:hanging="360"/>
        <w:spacing w:after="0" w:line="240" w:lineRule="auto"/>
        <w:jc w:val="both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Calibri"/>
          <w:color w:val="000000"/>
          <w:lang w:eastAsia="ru-ru"/>
        </w:rPr>
      </w:r>
    </w:p>
    <w:p>
      <w:pPr>
        <w:spacing w:after="0" w:line="24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eastAsia="Times New Roman"/>
          <w:color w:val="999999"/>
          <w:sz w:val="19"/>
          <w:szCs w:val="19"/>
          <w:lang w:eastAsia="ru-ru"/>
        </w:rPr>
      </w:pPr>
      <w:r>
        <w:rPr>
          <w:rFonts w:eastAsia="Times New Roman"/>
          <w:color w:val="999999"/>
          <w:sz w:val="19"/>
          <w:szCs w:val="19"/>
          <w:lang w:eastAsia="ru-ru"/>
        </w:rPr>
      </w:r>
    </w:p>
    <w:p>
      <w:pPr>
        <w:spacing w:after="0" w:line="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ff9" w:hAnsi="ff9" w:eastAsia="Times New Roman"/>
          <w:color w:val="000000"/>
          <w:sz w:val="72"/>
          <w:szCs w:val="72"/>
          <w:lang w:eastAsia="ru-ru"/>
        </w:rPr>
      </w:pPr>
      <w:r>
        <w:rPr>
          <w:rFonts w:ascii="ff9" w:hAnsi="ff9" w:eastAsia="Times New Roman"/>
          <w:color w:val="000000"/>
          <w:sz w:val="72"/>
          <w:szCs w:val="72"/>
          <w:lang w:eastAsia="ru-ru"/>
        </w:rPr>
        <w:t>−</w:t>
      </w:r>
      <w:r>
        <w:rPr>
          <w:rFonts w:ascii="ffa" w:hAnsi="ffa" w:eastAsia="Times New Roman"/>
          <w:color w:val="000000"/>
          <w:sz w:val="72"/>
          <w:szCs w:val="72"/>
          <w:lang w:eastAsia="ru-ru"/>
        </w:rPr>
        <w:t xml:space="preserve">  </w:t>
      </w:r>
      <w:r>
        <w:rPr>
          <w:rFonts w:ascii="ff2" w:hAnsi="ff2" w:eastAsia="Times New Roman"/>
          <w:color w:val="000000"/>
          <w:sz w:val="72"/>
          <w:szCs w:val="72"/>
          <w:lang w:eastAsia="ru-ru"/>
        </w:rPr>
        <w:t>потребности вести диалог, выслушивать мнение оппонента, участвовать в дискуссии;</w:t>
      </w:r>
      <w:r>
        <w:rPr>
          <w:rFonts w:ascii="ff1" w:hAnsi="ff1" w:eastAsia="Times New Roman"/>
          <w:color w:val="000000"/>
          <w:sz w:val="72"/>
          <w:szCs w:val="72"/>
          <w:lang w:eastAsia="ru-ru"/>
        </w:rPr>
        <w:t xml:space="preserve"> </w:t>
      </w:r>
      <w:r>
        <w:rPr>
          <w:rFonts w:ascii="ff9" w:hAnsi="ff9" w:eastAsia="Times New Roman"/>
          <w:color w:val="000000"/>
          <w:sz w:val="72"/>
          <w:szCs w:val="72"/>
          <w:lang w:eastAsia="ru-ru"/>
        </w:rPr>
      </w:r>
    </w:p>
    <w:p>
      <w:pPr>
        <w:spacing w:after="0" w:line="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ff9" w:hAnsi="ff9" w:eastAsia="Times New Roman"/>
          <w:color w:val="000000"/>
          <w:sz w:val="72"/>
          <w:szCs w:val="72"/>
          <w:lang w:eastAsia="ru-ru"/>
        </w:rPr>
      </w:pPr>
      <w:r>
        <w:rPr>
          <w:rFonts w:ascii="ff9" w:hAnsi="ff9" w:eastAsia="Times New Roman"/>
          <w:color w:val="000000"/>
          <w:sz w:val="72"/>
          <w:szCs w:val="72"/>
          <w:lang w:eastAsia="ru-ru"/>
        </w:rPr>
        <w:t>−</w:t>
      </w:r>
      <w:r>
        <w:rPr>
          <w:rFonts w:ascii="ffa" w:hAnsi="ffa" w:eastAsia="Times New Roman"/>
          <w:color w:val="000000"/>
          <w:sz w:val="72"/>
          <w:szCs w:val="72"/>
          <w:lang w:eastAsia="ru-ru"/>
        </w:rPr>
        <w:t xml:space="preserve">  </w:t>
      </w:r>
      <w:r>
        <w:rPr>
          <w:rFonts w:ascii="ff2" w:hAnsi="ff2" w:eastAsia="Times New Roman"/>
          <w:color w:val="000000"/>
          <w:sz w:val="72"/>
          <w:szCs w:val="72"/>
          <w:lang w:eastAsia="ru-ru"/>
        </w:rPr>
        <w:t>способности открыто выражать и аргументировано отстаивать свою точку зрения.</w:t>
      </w:r>
      <w:r>
        <w:rPr>
          <w:rFonts w:ascii="ff3" w:hAnsi="ff3" w:eastAsia="Times New Roman"/>
          <w:color w:val="000000"/>
          <w:sz w:val="72"/>
          <w:szCs w:val="72"/>
          <w:lang w:eastAsia="ru-ru"/>
        </w:rPr>
        <w:t xml:space="preserve"> </w:t>
      </w:r>
      <w:r>
        <w:rPr>
          <w:rFonts w:ascii="ff9" w:hAnsi="ff9" w:eastAsia="Times New Roman"/>
          <w:color w:val="000000"/>
          <w:sz w:val="72"/>
          <w:szCs w:val="72"/>
          <w:lang w:eastAsia="ru-ru"/>
        </w:rPr>
      </w:r>
    </w:p>
    <w:p>
      <w:pPr>
        <w:spacing w:after="0" w:line="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ff5" w:hAnsi="ff5" w:eastAsia="Times New Roman"/>
          <w:color w:val="000000"/>
          <w:sz w:val="72"/>
          <w:szCs w:val="72"/>
          <w:lang w:eastAsia="ru-ru"/>
        </w:rPr>
      </w:pPr>
      <w:r>
        <w:rPr>
          <w:rFonts w:ascii="ff5" w:hAnsi="ff5" w:eastAsia="Times New Roman"/>
          <w:color w:val="000000"/>
          <w:sz w:val="72"/>
          <w:szCs w:val="72"/>
          <w:lang w:eastAsia="ru-ru"/>
        </w:rPr>
        <w:t xml:space="preserve">Особенности  содержания  обучения  химии  </w:t>
      </w:r>
      <w:r>
        <w:rPr>
          <w:rFonts w:ascii="ff2" w:hAnsi="ff2" w:eastAsia="Times New Roman"/>
          <w:color w:val="000000"/>
          <w:sz w:val="72"/>
          <w:szCs w:val="72"/>
          <w:lang w:eastAsia="ru-ru"/>
        </w:rPr>
        <w:t>в  средней</w:t>
      </w:r>
      <w:r>
        <w:rPr>
          <w:rFonts w:ascii="ff3" w:hAnsi="ff3" w:eastAsia="Times New Roman"/>
          <w:color w:val="000000"/>
          <w:sz w:val="72"/>
          <w:szCs w:val="72"/>
          <w:lang w:eastAsia="ru-ru"/>
        </w:rPr>
        <w:t xml:space="preserve">  </w:t>
      </w:r>
      <w:r>
        <w:rPr>
          <w:rFonts w:ascii="ff2" w:hAnsi="ff2" w:eastAsia="Times New Roman"/>
          <w:color w:val="000000"/>
          <w:sz w:val="72"/>
          <w:szCs w:val="72"/>
          <w:lang w:eastAsia="ru-ru"/>
        </w:rPr>
        <w:t>(полной)</w:t>
      </w:r>
      <w:r>
        <w:rPr>
          <w:rFonts w:ascii="ff3" w:hAnsi="ff3" w:eastAsia="Times New Roman"/>
          <w:color w:val="000000"/>
          <w:sz w:val="72"/>
          <w:szCs w:val="72"/>
          <w:lang w:eastAsia="ru-ru"/>
        </w:rPr>
        <w:t xml:space="preserve">  </w:t>
      </w:r>
      <w:r>
        <w:rPr>
          <w:rFonts w:ascii="ff2" w:hAnsi="ff2" w:eastAsia="Times New Roman"/>
          <w:color w:val="000000"/>
          <w:sz w:val="72"/>
          <w:szCs w:val="72"/>
          <w:lang w:eastAsia="ru-ru"/>
        </w:rPr>
        <w:t>школе  обусловле</w:t>
      </w:r>
      <w:r>
        <w:rPr>
          <w:rFonts w:ascii="ff5" w:hAnsi="ff5" w:eastAsia="Times New Roman"/>
          <w:color w:val="000000"/>
          <w:sz w:val="72"/>
          <w:szCs w:val="72"/>
          <w:lang w:eastAsia="ru-ru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предмета, курса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Тема 1 СТРОЕНИЕ ВЕЩЕСТВА.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 данной теме курса запланировано изучение понятий: атом, ядро и электронная оболочка, электроны, протоны, нейтроны. Микромир и макромир. Дуализм частиц микромира. Электронное облако, орбиталь, форма орбиталей, энергетические уровни и подуровни, атомные орбитали</w:t>
      </w:r>
      <w:r>
        <w:rPr>
          <w:rFonts w:ascii="Times New Roman" w:hAnsi="Times New Roman" w:eastAsia="Times New Roman"/>
          <w:i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/>
          <w:i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Электронно – графические формулы атомов элементов, электронная классификация элементов. Физический смысл порядкового номера элемента, причины изменения металлических и неметаллических свойств элементов, значение закона для развития науки. Ионная связь и ионные кристаллические решетки, электроотрицательность, катионы, анионы. Ковалентная связь и ее разновидности и механизмы образования. Металлическая связь и металлические кристаллические решетки. Водородная связь и ее разновидности. Природа хим. связей.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Тема 2 АГРЕГАТНЫЕ СОСТОЯНИЯ ВЕЩЕСТВ.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 данной теме курса запланировано изучение понятий: полимеры, ВМС, структурное звено, степень полимеризации. Способы получения полимеров, строение полимеров. Газообразные вещества. Воздух и природный газ. Кислород, озон, аммиак, углекислый газ, этилен. Свойства газов. Парниковый эффект. Закон Авагадро. Молярный объем газов. Круговорот воды в природе. Временная и постоянная жесткость воды. Кислые соли. Минеральные воды. Жидкие кристаллы. Кристаллические и аморфные вещества. Дисперсные системы, дисперсионная среда и дисперсная фаза, типы дисперсных систем и их значение в природе, золи, гели, коллоиды. Диффузия, способы выражения. Закон постоянства состава вещества, массовая доля компонента в смеси, массовая доля растворенного вещества, массовая доля примесей, массовая доля продукта реакции, молярная концентрация.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Тема 3 ХИМИЧЕСКИЕ РЕАКЦИИ.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данной теме курса запланировано изучение понятий: химические реакции. Аллотропные модификации серы, фосфора, углерода, олова. Изомерия. Изомеры. Реакции соединения, разложения, замещения, обмена. Реакции экзо- и эндотермические. Правило Бертолле. Тепловой эффект реакции. Термохимические уравнения.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Скорость химических реакций, энергия, химическая кинетика.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Обратимость хим. реакций, скорость реакции.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Константы равновесия, принцип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Шателье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. Электролиты,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неэлектролиты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диссоциация, ассоциация, гидратированные ионы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катионы, анионы, степень электролитической диссоциации.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Гидролиз, гидролиз по катиону, аниону, молекулярный и ионный вид уравнения, реакция среды. Окислительно-восстановительные реакции, окислитель, восстановитель, электронный баланс 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Алгоритм, схема электронного баланса, процессы окисления, восстановления, окислитель, восстановитель. Электролиз.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ВЕЩЕСТВА И ИХ СВОЙСТВА.</w:t>
      </w: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данной теме курса запланировано изучение понятий: </w:t>
      </w:r>
      <w:r>
        <w:rPr>
          <w:rFonts w:ascii="Times New Roman" w:hAnsi="Times New Roman"/>
          <w:bCs/>
          <w:sz w:val="24"/>
          <w:szCs w:val="24"/>
        </w:rPr>
        <w:t>металличность</w:t>
      </w:r>
      <w:r>
        <w:rPr>
          <w:rFonts w:ascii="Times New Roman" w:hAnsi="Times New Roman"/>
          <w:bCs/>
          <w:sz w:val="24"/>
          <w:szCs w:val="24"/>
        </w:rPr>
        <w:t>, электронное семейство, макро- и микроэлемент, металлическая связь, металлическая кристаллическая решетка, парамагнитная и диамагнитная способность</w:t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коррозия, электрохимическая коррозия, процессы окисления, восстановления, протектор, пассивация, ингибитор.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Неметаллы, электронное строение, свойства, химические превращения, применение</w:t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Основной характер, кислотный характер, окислитель, восстановитель, ковалентная полярная связь. Бинарные соединения. Оксиды. Кислотные и основные оксиды.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Кислоты, техника безопасности при работе с ними, кислотный остаток, бескислородные и кислородосодержащие кислоты. Основания, гидроксильная группа, щелочи. Соли, кислотный остаток,  номенклатура солей.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Тематическое  планирование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Style w:val="TableGrid"/>
        <w:name w:val="Таблица1"/>
        <w:tabOrder w:val="0"/>
        <w:jc w:val="left"/>
        <w:tblInd w:w="0" w:type="dxa"/>
        <w:tblW w:w="15352" w:type="dxa"/>
        <w:tblLook w:val="04A0" w:firstRow="1" w:lastRow="0" w:firstColumn="1" w:lastColumn="0" w:noHBand="0" w:noVBand="1"/>
      </w:tblPr>
      <w:tblGrid>
        <w:gridCol w:w="959"/>
        <w:gridCol w:w="9922"/>
        <w:gridCol w:w="4471"/>
      </w:tblGrid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ind w:left="-11057" w:firstLine="11057"/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ind w:left="-11057" w:firstLine="11057"/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ind w:left="-11057" w:firstLine="11057"/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сведения о строении атома.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оболочка. Особенности строения электронных оболочек переходных элементов.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периодическая система  Д.И. Менделеева. Проверочная работа №1 «Периодическая система Менделеева Д.И.»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Ионная химическая связь.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Ковалентная химическая связь.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Металлическая связь.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Водородная связь. Единая природа химических связей.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«Строение атома. Виды связи».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Полимеры органические и неорганические.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Полимеры органические и неорганические.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Газообразные вещества.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</w:p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«Получение, распознавание и собирание газов».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Жидкие вещества.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Твердые вещества. 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Дисперсные системы и растворы.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вещества. Смеси.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 расчетных задач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№2</w:t>
            </w:r>
            <w:r>
              <w:rPr>
                <w:rFonts w:ascii="Times New Roman" w:hAnsi="Times New Roman"/>
                <w:bCs/>
                <w:sz w:val="24"/>
                <w:szCs w:val="24"/>
                <w:u w:color="auto" w:val="single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теме: «Агрегатные состояния веществ»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химической реакции. Реакции, идущие без изменения состава веществ.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/>
            <w:bookmarkStart w:id="1" w:name="OLE_LINK1"/>
            <w:r/>
            <w:r>
              <w:rPr>
                <w:rFonts w:ascii="Times New Roman" w:hAnsi="Times New Roman"/>
                <w:sz w:val="24"/>
                <w:szCs w:val="24"/>
              </w:rPr>
              <w:t>Классификация химических реакций, протекающих с изменением состава веществ.</w:t>
            </w:r>
            <w:r/>
            <w:bookmarkEnd w:id="1"/>
            <w:r/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Обратимость химических реакций.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Химическое равновесие, условия его смещения.</w:t>
            </w:r>
          </w:p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№2 «Скорость химических реакций».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воды в химических реакциях.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Гидролиз. 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277" w:hRule="atLeast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реакции. Электролиз.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</w:t>
            </w:r>
            <w:r>
              <w:rPr>
                <w:rFonts w:ascii="Times New Roman" w:hAnsi="Times New Roman"/>
                <w:bCs/>
                <w:sz w:val="24"/>
                <w:szCs w:val="24"/>
                <w:u w:color="auto" w:val="single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теме: «Химические реакции»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Металлы.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Неметаллы.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Оксиды. Кислоты.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экспериментальных задач по определению свойств кислот».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Соли.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Итоговая  контрольная  работа  за  курс 11 класса.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2" w:type="dxa"/>
            <w:tmTcPr id="1698821241" protected="0"/>
          </w:tcPr>
          <w:p>
            <w:pPr>
              <w: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над  ошибками. Обобщение материала  за  пройденный  курс.</w:t>
            </w:r>
          </w:p>
        </w:tc>
        <w:tc>
          <w:tcPr>
            <w:tcW w:w="4471" w:type="dxa"/>
            <w:tmTcPr id="1698821241" protected="0"/>
          </w:tcPr>
          <w:p>
            <w:pPr>
              <w: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footerReference w:type="default" r:id="rId9"/>
      <w:type w:val="nextPage"/>
      <w:pgSz w:h="11906" w:w="16838" w:orient="landscape"/>
      <w:pgMar w:left="851" w:top="1134" w:right="851" w:bottom="851" w:header="0" w:footer="0"/>
      <w:paperSrc w:first="0" w:other="0" a="0" b="0"/>
      <w:pgNumType w:fmt="decimal"/>
      <w:tmGutter w:val="3"/>
      <w:mirrorMargins w:val="0"/>
      <w:tmSection w:h="-2"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Symbol">
    <w:panose1 w:val="05050102010706020507"/>
    <w:charset w:val="02"/>
    <w:family w:val="roman"/>
    <w:pitch w:val="default"/>
  </w:font>
  <w:font w:name="Courier New">
    <w:panose1 w:val="02070309020205020404"/>
    <w:charset w:val="cc"/>
    <w:family w:val="modern"/>
    <w:pitch w:val="default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cc"/>
    <w:family w:val="swiss"/>
    <w:pitch w:val="default"/>
  </w:font>
  <w:font w:name="ff5">
    <w:panose1 w:val="02020603050405020304"/>
    <w:charset w:val="00"/>
    <w:family w:val="roman"/>
    <w:pitch w:val="default"/>
  </w:font>
  <w:font w:name="ff3">
    <w:panose1 w:val="02020603050405020304"/>
    <w:charset w:val="00"/>
    <w:family w:val="roman"/>
    <w:pitch w:val="default"/>
  </w:font>
  <w:font w:name="ff1">
    <w:panose1 w:val="02020603050405020304"/>
    <w:charset w:val="00"/>
    <w:family w:val="roman"/>
    <w:pitch w:val="default"/>
  </w:font>
  <w:font w:name="ff9">
    <w:panose1 w:val="02020603050405020304"/>
    <w:charset w:val="00"/>
    <w:family w:val="roman"/>
    <w:pitch w:val="default"/>
  </w:font>
  <w:font w:name="ffa">
    <w:panose1 w:val="02020603050405020304"/>
    <w:charset w:val="00"/>
    <w:family w:val="roman"/>
    <w:pitch w:val="default"/>
  </w:font>
  <w:font w:name="ff2">
    <w:panose1 w:val="02020603050405020304"/>
    <w:charset w:val="00"/>
    <w:family w:val="roman"/>
    <w:pitch w:val="default"/>
  </w:font>
  <w:font w:name="Cambria">
    <w:panose1 w:val="02040503050406030204"/>
    <w:charset w:val="cc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2"/>
      <w:spacing/>
      <w:jc w:val="right"/>
    </w:pPr>
    <w:r>
      <w:fldChar w:fldCharType="begin"/>
      <w:instrText xml:space="preserve"> PAGE </w:instrText>
      <w:fldChar w:fldCharType="separate"/>
      <w:t>1</w:t>
      <w:fldChar w:fldCharType="end"/>
    </w:r>
  </w:p>
  <w:p>
    <w:pPr>
      <w:pStyle w:val="para2"/>
    </w:pPr>
    <w:r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709" w:hanging="0"/>
      </w:pPr>
      <w:rPr>
        <w:rFonts w:cs="Times New Roman"/>
      </w:rPr>
    </w:lvl>
    <w:lvl w:ilvl="1">
      <w:start w:val="1"/>
      <w:numFmt w:val="decimal"/>
      <w:suff w:val="tab"/>
      <w:lvlText w:val="%2."/>
      <w:lvlJc w:val="left"/>
      <w:pPr>
        <w:ind w:left="1429" w:hanging="0"/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1800" w:hanging="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520" w:hanging="0"/>
      </w:pPr>
      <w:rPr>
        <w:rFonts w:cs="Times New Roman"/>
      </w:rPr>
    </w:lvl>
    <w:lvl w:ilvl="4">
      <w:start w:val="1"/>
      <w:numFmt w:val="decimal"/>
      <w:suff w:val="tab"/>
      <w:lvlText w:val="%5."/>
      <w:lvlJc w:val="left"/>
      <w:pPr>
        <w:ind w:left="3240" w:hanging="0"/>
      </w:pPr>
      <w:rPr>
        <w:rFonts w:cs="Times New Roman"/>
      </w:rPr>
    </w:lvl>
    <w:lvl w:ilvl="5">
      <w:start w:val="1"/>
      <w:numFmt w:val="decimal"/>
      <w:suff w:val="tab"/>
      <w:lvlText w:val="%6."/>
      <w:lvlJc w:val="left"/>
      <w:pPr>
        <w:ind w:left="3960" w:hanging="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4680" w:hanging="0"/>
      </w:pPr>
      <w:rPr>
        <w:rFonts w:cs="Times New Roman"/>
      </w:rPr>
    </w:lvl>
    <w:lvl w:ilvl="7">
      <w:start w:val="1"/>
      <w:numFmt w:val="decimal"/>
      <w:suff w:val="tab"/>
      <w:lvlText w:val="%8."/>
      <w:lvlJc w:val="left"/>
      <w:pPr>
        <w:ind w:left="5400" w:hanging="0"/>
      </w:pPr>
      <w:rPr>
        <w:rFonts w:cs="Times New Roman"/>
      </w:rPr>
    </w:lvl>
    <w:lvl w:ilvl="8">
      <w:start w:val="1"/>
      <w:numFmt w:val="decimal"/>
      <w:suff w:val="tab"/>
      <w:lvlText w:val="%9."/>
      <w:lvlJc w:val="left"/>
      <w:pPr>
        <w:ind w:left="6120" w:hanging="0"/>
      </w:pPr>
      <w:rPr>
        <w:rFonts w:cs="Times New Roman"/>
      </w:rPr>
    </w:lvl>
  </w:abstractNum>
  <w:abstractNum w:abstractNumId="2">
    <w:multiLevelType w:val="hybridMultilevel"/>
    <w:name w:val="Нумерованный список 2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3">
    <w:multiLevelType w:val="hybridMultilevel"/>
    <w:name w:val="Нумерованный список 3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4">
    <w:multiLevelType w:val="hybridMultilevel"/>
    <w:name w:val="Нумерованный список 4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5">
    <w:multiLevelType w:val="hybridMultilevel"/>
    <w:name w:val="Нумерованный список 5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6">
    <w:multiLevelType w:val="hybridMultilevel"/>
    <w:name w:val="Нумерованный список 6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7">
    <w:multiLevelType w:val="hybridMultilevel"/>
    <w:name w:val="Нумерованный список 7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8">
    <w:multiLevelType w:val="hybridMultilevel"/>
    <w:name w:val="Нумерованный список 8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"/>
      <w:lvlJc w:val="left"/>
      <w:pPr>
        <w:ind w:left="1080" w:hanging="0"/>
      </w:pPr>
      <w:rPr>
        <w:rFonts w:ascii="Symbol" w:hAnsi="Symbol"/>
        <w:sz w:val="20"/>
      </w:rPr>
    </w:lvl>
    <w:lvl w:ilvl="2">
      <w:numFmt w:val="bullet"/>
      <w:suff w:val="tab"/>
      <w:lvlText w:val=""/>
      <w:lvlJc w:val="left"/>
      <w:pPr>
        <w:ind w:left="1800" w:hanging="0"/>
      </w:pPr>
      <w:rPr>
        <w:rFonts w:ascii="Symbol" w:hAnsi="Symbol"/>
        <w:sz w:val="20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  <w:sz w:val="20"/>
      </w:rPr>
    </w:lvl>
    <w:lvl w:ilvl="4">
      <w:numFmt w:val="bullet"/>
      <w:suff w:val="tab"/>
      <w:lvlText w:val=""/>
      <w:lvlJc w:val="left"/>
      <w:pPr>
        <w:ind w:left="3240" w:hanging="0"/>
      </w:pPr>
      <w:rPr>
        <w:rFonts w:ascii="Symbol" w:hAnsi="Symbol"/>
        <w:sz w:val="20"/>
      </w:rPr>
    </w:lvl>
    <w:lvl w:ilvl="5">
      <w:numFmt w:val="bullet"/>
      <w:suff w:val="tab"/>
      <w:lvlText w:val=""/>
      <w:lvlJc w:val="left"/>
      <w:pPr>
        <w:ind w:left="3960" w:hanging="0"/>
      </w:pPr>
      <w:rPr>
        <w:rFonts w:ascii="Symbol" w:hAnsi="Symbol"/>
        <w:sz w:val="20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  <w:sz w:val="20"/>
      </w:rPr>
    </w:lvl>
    <w:lvl w:ilvl="7">
      <w:numFmt w:val="bullet"/>
      <w:suff w:val="tab"/>
      <w:lvlText w:val=""/>
      <w:lvlJc w:val="left"/>
      <w:pPr>
        <w:ind w:left="5400" w:hanging="0"/>
      </w:pPr>
      <w:rPr>
        <w:rFonts w:ascii="Symbol" w:hAnsi="Symbol"/>
        <w:sz w:val="20"/>
      </w:rPr>
    </w:lvl>
    <w:lvl w:ilvl="8">
      <w:numFmt w:val="bullet"/>
      <w:suff w:val="tab"/>
      <w:lvlText w:val=""/>
      <w:lvlJc w:val="left"/>
      <w:pPr>
        <w:ind w:left="6120" w:hanging="0"/>
      </w:pPr>
      <w:rPr>
        <w:rFonts w:ascii="Symbol" w:hAnsi="Symbol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2049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7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98821241" w:val="1066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cs="Times New Roman"/>
    </w:rPr>
  </w:style>
  <w:style w:type="paragraph" w:styleId="para1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2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3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Верхний колонтитул Знак"/>
    <w:basedOn w:val="char0"/>
    <w:rPr>
      <w:rFonts w:ascii="Calibri" w:hAnsi="Calibri" w:eastAsia="Calibri" w:cs="Times New Roman"/>
    </w:rPr>
  </w:style>
  <w:style w:type="character" w:styleId="char2" w:customStyle="1">
    <w:name w:val="Нижний колонтитул Знак"/>
    <w:basedOn w:val="char0"/>
    <w:rPr>
      <w:rFonts w:ascii="Calibri" w:hAnsi="Calibri" w:eastAsia="Calibri" w:cs="Times New Roman"/>
    </w:rPr>
  </w:style>
  <w:style w:type="character" w:styleId="char3" w:customStyle="1">
    <w:name w:val="Текст выноски Знак"/>
    <w:basedOn w:val="char0"/>
    <w:rPr>
      <w:rFonts w:ascii="Tahoma" w:hAnsi="Tahoma" w:eastAsia="Calibri" w:cs="Tahoma"/>
      <w:sz w:val="16"/>
      <w:szCs w:val="16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cs="Times New Roman"/>
    </w:rPr>
  </w:style>
  <w:style w:type="paragraph" w:styleId="para1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2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3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Верхний колонтитул Знак"/>
    <w:basedOn w:val="char0"/>
    <w:rPr>
      <w:rFonts w:ascii="Calibri" w:hAnsi="Calibri" w:eastAsia="Calibri" w:cs="Times New Roman"/>
    </w:rPr>
  </w:style>
  <w:style w:type="character" w:styleId="char2" w:customStyle="1">
    <w:name w:val="Нижний колонтитул Знак"/>
    <w:basedOn w:val="char0"/>
    <w:rPr>
      <w:rFonts w:ascii="Calibri" w:hAnsi="Calibri" w:eastAsia="Calibri" w:cs="Times New Roman"/>
    </w:rPr>
  </w:style>
  <w:style w:type="character" w:styleId="char3" w:customStyle="1">
    <w:name w:val="Текст выноски Знак"/>
    <w:basedOn w:val="char0"/>
    <w:rPr>
      <w:rFonts w:ascii="Tahoma" w:hAnsi="Tahoma" w:eastAsia="Calibri" w:cs="Tahoma"/>
      <w:sz w:val="16"/>
      <w:szCs w:val="16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/>
  <cp:revision>7</cp:revision>
  <dcterms:created xsi:type="dcterms:W3CDTF">2021-11-25T11:36:00Z</dcterms:created>
  <dcterms:modified xsi:type="dcterms:W3CDTF">2023-11-01T06:47:21Z</dcterms:modified>
</cp:coreProperties>
</file>