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40"/>
        <w:tabs>
          <w:tab w:leader="none" w:pos="10206" w:val="left"/>
        </w:tabs>
        <w:ind w:hanging="0" w:left="0" w:right="962"/>
        <w:jc w:val="center"/>
      </w:pPr>
      <w:r>
        <w:rPr/>
      </w:r>
    </w:p>
    <w:p>
      <w:pPr>
        <w:pStyle w:val="style0"/>
        <w:spacing w:after="0" w:before="0" w:line="200" w:lineRule="atLeast"/>
        <w:ind w:hanging="0" w:left="0" w:right="0"/>
        <w:contextualSpacing w:val="false"/>
        <w:jc w:val="center"/>
      </w:pPr>
      <w:r>
        <w:rPr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pStyle w:val="style33"/>
        <w:spacing w:after="0" w:before="0" w:line="200" w:lineRule="atLeast"/>
        <w:contextualSpacing w:val="false"/>
        <w:jc w:val="center"/>
      </w:pPr>
      <w:r>
        <w:rPr>
          <w:rStyle w:val="style31"/>
          <w:rFonts w:eastAsia="Calibri"/>
          <w:sz w:val="28"/>
          <w:szCs w:val="28"/>
        </w:rPr>
        <w:t>‌</w:t>
      </w:r>
      <w:bookmarkStart w:id="0" w:name="458a8b50-bc87-4dce-ba15-54688bfa74511"/>
      <w:bookmarkEnd w:id="0"/>
      <w:r>
        <w:rPr>
          <w:rStyle w:val="style31"/>
          <w:rFonts w:ascii="Times New Roman;sans-serif" w:cs="Times New Roman;sans-serif" w:hAnsi="Times New Roman;sans-serif"/>
          <w:b/>
          <w:sz w:val="28"/>
          <w:szCs w:val="28"/>
        </w:rPr>
        <w:t>Департамент образования и науки Тюменской области‌‌</w:t>
      </w:r>
      <w:r>
        <w:rPr>
          <w:rStyle w:val="style31"/>
          <w:rFonts w:ascii="Times New Roman;sans-serif" w:cs="Times New Roman;sans-serif" w:hAnsi="Times New Roman;sans-serif"/>
          <w:sz w:val="28"/>
          <w:szCs w:val="28"/>
        </w:rPr>
        <w:t> </w:t>
      </w:r>
    </w:p>
    <w:p>
      <w:pPr>
        <w:pStyle w:val="style33"/>
        <w:spacing w:after="0" w:before="0" w:line="200" w:lineRule="atLeast"/>
        <w:contextualSpacing w:val="false"/>
        <w:jc w:val="center"/>
      </w:pPr>
      <w:r>
        <w:rPr>
          <w:rStyle w:val="style31"/>
          <w:rFonts w:eastAsia="Calibri"/>
          <w:sz w:val="28"/>
          <w:szCs w:val="28"/>
        </w:rPr>
        <w:t>‌</w:t>
      </w:r>
      <w:bookmarkStart w:id="1" w:name="a4973ee1-7119-49dd-ab64-b9ca304049611"/>
      <w:bookmarkEnd w:id="1"/>
      <w:r>
        <w:rPr>
          <w:rStyle w:val="style31"/>
          <w:rFonts w:ascii="Times New Roman;sans-serif" w:cs="Times New Roman;sans-serif" w:hAnsi="Times New Roman;sans-serif"/>
          <w:b/>
          <w:sz w:val="28"/>
          <w:szCs w:val="28"/>
        </w:rPr>
        <w:t>Управление образования Вагайского муниципального района</w:t>
      </w:r>
      <w:r>
        <w:rPr>
          <w:rStyle w:val="style31"/>
          <w:rFonts w:ascii="Times New Roman;sans-serif" w:cs="Times New Roman;sans-serif" w:hAnsi="Times New Roman;sans-serif"/>
          <w:sz w:val="28"/>
          <w:szCs w:val="28"/>
        </w:rPr>
        <w:t>‌</w:t>
      </w:r>
      <w:r>
        <w:rPr>
          <w:rFonts w:ascii="Times New Roman;sans-serif" w:cs="Times New Roman;sans-serif" w:hAnsi="Times New Roman;sans-serif"/>
          <w:sz w:val="28"/>
          <w:szCs w:val="28"/>
        </w:rPr>
        <w:t>​</w:t>
      </w:r>
    </w:p>
    <w:p>
      <w:pPr>
        <w:pStyle w:val="style33"/>
        <w:shd w:fill="FFFFFF" w:val="clear"/>
        <w:tabs>
          <w:tab w:leader="none" w:pos="10206" w:val="left"/>
        </w:tabs>
        <w:suppressAutoHyphens w:val="false"/>
        <w:spacing w:after="0" w:before="0" w:line="200" w:lineRule="atLeast"/>
        <w:contextualSpacing w:val="false"/>
        <w:jc w:val="center"/>
      </w:pPr>
      <w:r>
        <w:rPr>
          <w:rStyle w:val="style31"/>
          <w:rFonts w:ascii="Times New Roman;sans-serif" w:cs="Times New Roman;sans-serif" w:eastAsia="Times New Roman;sans-serif" w:hAnsi="Times New Roman;sans-serif"/>
          <w:b/>
          <w:i w:val="false"/>
          <w:color w:val="000000"/>
          <w:sz w:val="28"/>
          <w:szCs w:val="28"/>
        </w:rPr>
        <w:t xml:space="preserve"> </w:t>
      </w:r>
      <w:r>
        <w:rPr>
          <w:rStyle w:val="style31"/>
          <w:rFonts w:ascii="Times New Roman;sans-serif" w:cs="Times New Roman;sans-serif" w:hAnsi="Times New Roman;sans-serif"/>
          <w:b/>
          <w:i w:val="false"/>
          <w:color w:val="000000"/>
          <w:sz w:val="28"/>
          <w:szCs w:val="28"/>
        </w:rPr>
        <w:t>Супринская СОШ, филиал МАОУ Бегишевская СОШ</w:t>
      </w:r>
    </w:p>
    <w:p>
      <w:pPr>
        <w:pStyle w:val="style40"/>
        <w:jc w:val="both"/>
      </w:pPr>
      <w:r>
        <w:rPr/>
      </w:r>
    </w:p>
    <w:p>
      <w:pPr>
        <w:pStyle w:val="style40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611360" cy="1806575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180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40"/>
        <w:jc w:val="both"/>
      </w:pPr>
      <w:r>
        <w:rPr/>
      </w:r>
    </w:p>
    <w:p>
      <w:pPr>
        <w:pStyle w:val="style40"/>
        <w:jc w:val="both"/>
      </w:pPr>
      <w:r>
        <w:rPr/>
      </w:r>
    </w:p>
    <w:p>
      <w:pPr>
        <w:pStyle w:val="style40"/>
        <w:jc w:val="both"/>
      </w:pPr>
      <w:r>
        <w:rPr/>
      </w:r>
    </w:p>
    <w:p>
      <w:pPr>
        <w:pStyle w:val="style0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 xml:space="preserve">Аннотация к учебным программам </w:t>
      </w:r>
    </w:p>
    <w:p>
      <w:pPr>
        <w:pStyle w:val="style0"/>
        <w:spacing w:line="115" w:lineRule="atLeast"/>
        <w:jc w:val="center"/>
        <w:textAlignment w:val="baseline"/>
      </w:pPr>
      <w:r>
        <w:rPr>
          <w:rFonts w:eastAsia="Calibri"/>
          <w:b/>
          <w:bCs/>
          <w:sz w:val="32"/>
          <w:szCs w:val="36"/>
        </w:rPr>
        <w:t xml:space="preserve"> </w:t>
      </w:r>
      <w:r>
        <w:rPr>
          <w:b/>
          <w:bCs/>
          <w:sz w:val="32"/>
          <w:szCs w:val="36"/>
        </w:rPr>
        <w:t>по учебному предмету «</w:t>
      </w:r>
      <w:r>
        <w:rPr>
          <w:b/>
          <w:bCs/>
          <w:sz w:val="32"/>
          <w:szCs w:val="36"/>
        </w:rPr>
        <w:t>Немецкий язык</w:t>
      </w:r>
      <w:r>
        <w:rPr>
          <w:b/>
          <w:bCs/>
          <w:sz w:val="32"/>
          <w:szCs w:val="36"/>
        </w:rPr>
        <w:t>»</w:t>
      </w:r>
    </w:p>
    <w:p>
      <w:pPr>
        <w:pStyle w:val="style0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 xml:space="preserve">9 класс </w:t>
      </w:r>
    </w:p>
    <w:p>
      <w:pPr>
        <w:pStyle w:val="style0"/>
        <w:tabs>
          <w:tab w:leader="none" w:pos="10206" w:val="left"/>
        </w:tabs>
        <w:spacing w:line="200" w:lineRule="atLeast"/>
        <w:ind w:hanging="0" w:left="0" w:right="962"/>
        <w:jc w:val="right"/>
      </w:pPr>
      <w:r>
        <w:rPr>
          <w:rFonts w:eastAsia="Calibri"/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>Составитель: учитель    Кутафина Н.А.</w:t>
      </w:r>
    </w:p>
    <w:p>
      <w:pPr>
        <w:pStyle w:val="style0"/>
        <w:tabs>
          <w:tab w:leader="none" w:pos="10206" w:val="left"/>
        </w:tabs>
        <w:spacing w:line="200" w:lineRule="atLeast"/>
        <w:ind w:hanging="0" w:left="0" w:right="962"/>
        <w:jc w:val="center"/>
      </w:pPr>
      <w:r>
        <w:rPr/>
      </w:r>
    </w:p>
    <w:p>
      <w:pPr>
        <w:pStyle w:val="style0"/>
        <w:tabs>
          <w:tab w:leader="none" w:pos="10206" w:val="left"/>
        </w:tabs>
        <w:spacing w:line="200" w:lineRule="atLeast"/>
        <w:ind w:hanging="0" w:left="0" w:right="962"/>
        <w:jc w:val="center"/>
      </w:pPr>
      <w:r>
        <w:rPr/>
      </w:r>
    </w:p>
    <w:p>
      <w:pPr>
        <w:pStyle w:val="style0"/>
        <w:tabs>
          <w:tab w:leader="none" w:pos="10206" w:val="left"/>
        </w:tabs>
        <w:spacing w:line="200" w:lineRule="atLeast"/>
        <w:ind w:hanging="0" w:left="0" w:right="962"/>
        <w:jc w:val="center"/>
      </w:pPr>
      <w:r>
        <w:rPr/>
      </w:r>
    </w:p>
    <w:p>
      <w:pPr>
        <w:pStyle w:val="style0"/>
        <w:tabs>
          <w:tab w:leader="none" w:pos="10206" w:val="left"/>
        </w:tabs>
        <w:spacing w:line="200" w:lineRule="atLeast"/>
        <w:ind w:hanging="0" w:left="0" w:right="962"/>
        <w:jc w:val="center"/>
      </w:pPr>
      <w:r>
        <w:rPr/>
      </w:r>
    </w:p>
    <w:p>
      <w:pPr>
        <w:pStyle w:val="style0"/>
        <w:tabs>
          <w:tab w:leader="none" w:pos="10206" w:val="left"/>
        </w:tabs>
        <w:spacing w:line="200" w:lineRule="atLeast"/>
        <w:ind w:hanging="0" w:left="0" w:right="962"/>
        <w:jc w:val="center"/>
      </w:pPr>
      <w:r>
        <w:rPr/>
      </w:r>
    </w:p>
    <w:p>
      <w:pPr>
        <w:pStyle w:val="style0"/>
        <w:tabs>
          <w:tab w:leader="none" w:pos="10206" w:val="left"/>
        </w:tabs>
        <w:spacing w:line="200" w:lineRule="atLeast"/>
        <w:ind w:hanging="0" w:left="0" w:right="962"/>
        <w:jc w:val="center"/>
      </w:pPr>
      <w:r>
        <w:rPr/>
      </w:r>
    </w:p>
    <w:p>
      <w:pPr>
        <w:pStyle w:val="style0"/>
        <w:tabs>
          <w:tab w:leader="none" w:pos="10206" w:val="left"/>
        </w:tabs>
        <w:spacing w:line="200" w:lineRule="atLeast"/>
        <w:ind w:hanging="0" w:left="0" w:right="962"/>
        <w:jc w:val="center"/>
      </w:pPr>
      <w:r>
        <w:rPr/>
      </w:r>
    </w:p>
    <w:p>
      <w:pPr>
        <w:pStyle w:val="style0"/>
        <w:tabs>
          <w:tab w:leader="none" w:pos="10206" w:val="left"/>
        </w:tabs>
        <w:spacing w:line="200" w:lineRule="atLeast"/>
        <w:ind w:hanging="0" w:left="0" w:right="962"/>
        <w:jc w:val="center"/>
      </w:pPr>
      <w:r>
        <w:rPr/>
      </w:r>
    </w:p>
    <w:p>
      <w:pPr>
        <w:pStyle w:val="style0"/>
        <w:tabs>
          <w:tab w:leader="none" w:pos="10206" w:val="left"/>
        </w:tabs>
        <w:spacing w:line="200" w:lineRule="atLeast"/>
        <w:ind w:hanging="0" w:left="0" w:right="962"/>
        <w:jc w:val="center"/>
      </w:pPr>
      <w:r>
        <w:rPr>
          <w:b/>
          <w:sz w:val="28"/>
          <w:szCs w:val="28"/>
        </w:rPr>
        <w:t>с. Супра</w:t>
      </w:r>
    </w:p>
    <w:p>
      <w:pPr>
        <w:pStyle w:val="style0"/>
        <w:tabs>
          <w:tab w:leader="none" w:pos="10206" w:val="left"/>
        </w:tabs>
        <w:spacing w:after="0" w:before="0" w:line="200" w:lineRule="atLeast"/>
        <w:ind w:hanging="0" w:left="0" w:right="962"/>
        <w:contextualSpacing w:val="false"/>
        <w:jc w:val="center"/>
      </w:pPr>
      <w:r>
        <w:rPr>
          <w:b/>
          <w:sz w:val="28"/>
          <w:szCs w:val="28"/>
        </w:rPr>
        <w:t>2023 год</w:t>
      </w:r>
    </w:p>
    <w:p>
      <w:pPr>
        <w:pStyle w:val="style40"/>
        <w:jc w:val="right"/>
      </w:pPr>
      <w:bookmarkStart w:id="2" w:name="_GoBack"/>
      <w:bookmarkStart w:id="3" w:name="_GoBack"/>
      <w:bookmarkEnd w:id="3"/>
      <w:r>
        <w:rPr/>
      </w:r>
    </w:p>
    <w:p>
      <w:pPr>
        <w:pStyle w:val="style40"/>
        <w:jc w:val="both"/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>Нормативная  база  и УМК</w:t>
      </w:r>
    </w:p>
    <w:p>
      <w:pPr>
        <w:pStyle w:val="style40"/>
        <w:jc w:val="both"/>
      </w:pPr>
      <w:r>
        <w:rPr/>
      </w:r>
    </w:p>
    <w:p>
      <w:pPr>
        <w:pStyle w:val="style39"/>
        <w:numPr>
          <w:ilvl w:val="0"/>
          <w:numId w:val="1"/>
        </w:numPr>
        <w:jc w:val="both"/>
      </w:pPr>
      <w:r>
        <w:rPr/>
        <w:t>Закон РФ «Об образовании в Российской Федерации» от 29 декабря 2012 года № 273- ФЗ;</w:t>
      </w:r>
    </w:p>
    <w:p>
      <w:pPr>
        <w:pStyle w:val="style39"/>
        <w:numPr>
          <w:ilvl w:val="0"/>
          <w:numId w:val="2"/>
        </w:numPr>
        <w:jc w:val="both"/>
      </w:pPr>
      <w:r>
        <w:rPr/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>
      <w:pPr>
        <w:pStyle w:val="style39"/>
        <w:numPr>
          <w:ilvl w:val="0"/>
          <w:numId w:val="2"/>
        </w:numPr>
        <w:jc w:val="both"/>
      </w:pPr>
      <w:r>
        <w:rPr/>
        <w:t>Приказ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>
      <w:pPr>
        <w:pStyle w:val="style39"/>
        <w:numPr>
          <w:ilvl w:val="0"/>
          <w:numId w:val="2"/>
        </w:numPr>
        <w:jc w:val="both"/>
      </w:pPr>
      <w:r>
        <w:rPr>
          <w:color w:val="333333"/>
          <w:shd w:fill="FFFFFF" w:val="clear"/>
        </w:rPr>
        <w:t>Приказ</w:t>
      </w:r>
      <w:r>
        <w:rPr>
          <w:rStyle w:val="style17"/>
          <w:color w:val="333333"/>
          <w:shd w:fill="FFFFFF" w:val="clear"/>
        </w:rPr>
        <w:t> </w:t>
      </w:r>
      <w:r>
        <w:rPr>
          <w:color w:val="333333"/>
          <w:shd w:fill="FFFFFF" w:val="clear"/>
        </w:rPr>
        <w:t>Минобразования РФ от 5 марта 2004 г. N 1089 "Об утверждении федерального компонента</w:t>
      </w:r>
      <w:r>
        <w:rPr>
          <w:rStyle w:val="style17"/>
          <w:color w:val="333333"/>
          <w:shd w:fill="FFFFFF" w:val="clear"/>
        </w:rPr>
        <w:t> </w:t>
      </w:r>
      <w:r>
        <w:rPr>
          <w:color w:val="333333"/>
          <w:shd w:fill="FFFFFF" w:val="clear"/>
        </w:rPr>
        <w:t>государственных</w:t>
      </w:r>
      <w:r>
        <w:rPr>
          <w:rStyle w:val="style17"/>
          <w:color w:val="333333"/>
          <w:shd w:fill="FFFFFF" w:val="clear"/>
        </w:rPr>
        <w:t> </w:t>
      </w:r>
      <w:r>
        <w:rPr>
          <w:color w:val="333333"/>
          <w:shd w:fill="FFFFFF" w:val="clear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style17"/>
          <w:color w:val="333333"/>
          <w:shd w:fill="FFFFFF" w:val="clear"/>
        </w:rPr>
        <w:t>;</w:t>
      </w:r>
    </w:p>
    <w:p>
      <w:pPr>
        <w:pStyle w:val="style39"/>
        <w:numPr>
          <w:ilvl w:val="0"/>
          <w:numId w:val="1"/>
        </w:numPr>
        <w:jc w:val="both"/>
      </w:pPr>
      <w:r>
        <w:rPr/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   </w:t>
      </w:r>
    </w:p>
    <w:p>
      <w:pPr>
        <w:pStyle w:val="style39"/>
        <w:numPr>
          <w:ilvl w:val="0"/>
          <w:numId w:val="1"/>
        </w:numPr>
        <w:jc w:val="both"/>
      </w:pPr>
      <w:bookmarkStart w:id="4" w:name="l0"/>
      <w:bookmarkEnd w:id="4"/>
      <w:r>
        <w:rPr/>
        <w:t xml:space="preserve"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</w:p>
    <w:p>
      <w:pPr>
        <w:pStyle w:val="style39"/>
        <w:numPr>
          <w:ilvl w:val="0"/>
          <w:numId w:val="3"/>
        </w:numPr>
        <w:jc w:val="both"/>
      </w:pPr>
      <w:r>
        <w:rPr/>
        <w:t>Устав Муниципального   автономного  общеобразовательного учреждения  Бегишевская  средняя общеобразовательная школа</w:t>
      </w:r>
    </w:p>
    <w:p>
      <w:pPr>
        <w:pStyle w:val="style39"/>
        <w:numPr>
          <w:ilvl w:val="0"/>
          <w:numId w:val="3"/>
        </w:numPr>
        <w:jc w:val="both"/>
      </w:pPr>
      <w:r>
        <w:rPr/>
        <w:t>Авторская программа;</w:t>
      </w:r>
    </w:p>
    <w:p>
      <w:pPr>
        <w:pStyle w:val="style39"/>
        <w:numPr>
          <w:ilvl w:val="0"/>
          <w:numId w:val="3"/>
        </w:numPr>
        <w:jc w:val="both"/>
      </w:pPr>
      <w:r>
        <w:rPr/>
        <w:t>Учебный план  Муниципального автономного  общеобразовательного  учреждения  Бегишевской  средней  общеобразовательной школы</w:t>
      </w:r>
    </w:p>
    <w:p>
      <w:pPr>
        <w:pStyle w:val="style40"/>
        <w:jc w:val="both"/>
      </w:pPr>
      <w:r>
        <w:rPr/>
      </w:r>
    </w:p>
    <w:p>
      <w:pPr>
        <w:pStyle w:val="style40"/>
        <w:jc w:val="both"/>
      </w:pPr>
      <w:r>
        <w:rPr>
          <w:rFonts w:ascii="Times New Roman" w:hAnsi="Times New Roman"/>
          <w:b/>
          <w:sz w:val="24"/>
          <w:szCs w:val="24"/>
        </w:rPr>
        <w:t>Количество  часов, отводимое  на  изучение  предмета</w:t>
      </w:r>
    </w:p>
    <w:p>
      <w:pPr>
        <w:pStyle w:val="style40"/>
        <w:jc w:val="both"/>
      </w:pPr>
      <w:r>
        <w:rPr/>
      </w:r>
    </w:p>
    <w:p>
      <w:pPr>
        <w:pStyle w:val="style40"/>
        <w:jc w:val="both"/>
      </w:pPr>
      <w:r>
        <w:rPr>
          <w:rFonts w:ascii="Times New Roman" w:hAnsi="Times New Roman"/>
          <w:b/>
          <w:sz w:val="24"/>
          <w:szCs w:val="24"/>
        </w:rPr>
        <w:t>Описание места учебного предмета в учебном плане.</w:t>
      </w:r>
      <w:r>
        <w:rPr>
          <w:rFonts w:ascii="Times New Roman" w:hAnsi="Times New Roman"/>
          <w:sz w:val="24"/>
          <w:szCs w:val="24"/>
        </w:rPr>
        <w:t xml:space="preserve"> В соответствии с учебным планом в 5-9 классах на данный предмет выделяются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час в неделю (34 учебные недели - </w:t>
      </w:r>
      <w:r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 xml:space="preserve"> в год ).</w:t>
      </w:r>
    </w:p>
    <w:p>
      <w:pPr>
        <w:pStyle w:val="style40"/>
        <w:jc w:val="both"/>
      </w:pPr>
      <w:r>
        <w:rPr/>
      </w:r>
    </w:p>
    <w:p>
      <w:pPr>
        <w:pStyle w:val="style40"/>
        <w:jc w:val="both"/>
      </w:pPr>
      <w:r>
        <w:rPr>
          <w:rFonts w:ascii="Times New Roman" w:hAnsi="Times New Roman"/>
          <w:b/>
          <w:sz w:val="24"/>
          <w:szCs w:val="24"/>
        </w:rPr>
        <w:t>Цели  и задачи  изучения  предмета</w:t>
      </w:r>
    </w:p>
    <w:p>
      <w:pPr>
        <w:pStyle w:val="style40"/>
        <w:jc w:val="both"/>
      </w:pPr>
      <w:r>
        <w:rPr/>
      </w:r>
    </w:p>
    <w:p>
      <w:pPr>
        <w:pStyle w:val="style40"/>
        <w:jc w:val="both"/>
      </w:pPr>
      <w:r>
        <w:rPr>
          <w:rFonts w:ascii="Times New Roman" w:hAnsi="Times New Roman"/>
          <w:b/>
          <w:sz w:val="24"/>
          <w:szCs w:val="24"/>
        </w:rPr>
        <w:t>Общие цели основного общего образования с учётом специфики учебного предмета «Иностранный язык» -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достижение выпускниками планируемых результатов освоения учебного предмета: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- становление и развитие личности обучающегося в ее самобытности, уникальности, неповторимости. </w:t>
      </w:r>
    </w:p>
    <w:p>
      <w:pPr>
        <w:pStyle w:val="style40"/>
        <w:jc w:val="both"/>
      </w:pPr>
      <w:r>
        <w:rPr>
          <w:rFonts w:ascii="Times New Roman" w:hAnsi="Times New Roman"/>
          <w:b/>
          <w:sz w:val="24"/>
          <w:szCs w:val="24"/>
        </w:rPr>
        <w:t>Достижение поставленных целей предусматривает решение следующих основных задач: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-обеспечение соответствия программы требованиям Федерального государственного образовательного стандарта основного общего образования (ФГОС ООО); 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- обеспечение преемственности начального общего, основного общего, среднего общего образования; 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-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обучающимися; 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- установление требований к воспитанию и социализации обучающихся,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 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- обеспечение эффективного сочетания урочных и внеурочных форм организации учебных занятий, взаимодействия всех участников образовательных отношений; 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>- выявление и развитие способностей обучающихся; - организацию интеллектуальных и творческих соревнований, проектной и учебно-исследовательской деятельности;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сохранение и укрепление физического, психологического и социального здоровья обучающихся, обеспечение их безопасности.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Рабочая программа определяет содержание, объём, порядок изучения учебного материала. </w:t>
      </w:r>
    </w:p>
    <w:p>
      <w:pPr>
        <w:pStyle w:val="style40"/>
        <w:jc w:val="both"/>
      </w:pPr>
      <w:r>
        <w:rPr>
          <w:rFonts w:ascii="Times New Roman" w:hAnsi="Times New Roman"/>
          <w:b/>
          <w:sz w:val="24"/>
          <w:szCs w:val="24"/>
        </w:rPr>
        <w:t>Изучение иностранного языка 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основной школе направлено на достижение следующих целей: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>развитие иноязычной коммуникативной компетенции;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развитие личности учащихся посредством реализации воспитательного потенциала иностранного языка.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Основными задачами изучения предмета являются: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1) развитие коммуникативных умений в четырех основных видах речевой деятельности (говорении, аудировании, чтении, письме);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2)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иностранном языках; 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3) освоение знаний о культуре, традициях, реалиях стран/страны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межкультурного общения; 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4) развитие умений выходить из положения в условиях дефицита языковых средств при получении и передаче информации; 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5) дальнейшее развитие общих и специальных учебных умений,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 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>6) формирование 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7) формирование общекультурной и этнической идентичности как составляющих гражданской идентичности личности;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 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>8) развитие стремления к овладению основами мировой культуры средствами иностранного языка;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9) 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 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>Для процесса изучения данного предмета характерно разнообразие методов и приёмов работы с языковым материалом, что даёт учителю возможность планировать учебно-воспитательный процесс, исходя из реальных потребностей и возможностей учащихся. Основные принципы и особенности обучения по УМК «Горизонты»: -обучение немецкому языку как второму иностранному языку (опора на 1 иностранный язык, его отличия, контрастивный подход к изучению второго иностранного языка, побуждающий учащихся к сравнению/сопоставлению изучаемых иностранных языков); -портфолио: личностно ориентированное обучение; -коммуникативная направленность обучения; -межкультурная направленность обучения; -изучение иностранного языка как творческий процесс (работа с постером, проектная и учебно- исследовательская деятельность); -дифференцированный подход в обучении немецкому языку; -работа с мотивированными и слабомотивированными учащимися.</w:t>
      </w:r>
    </w:p>
    <w:p>
      <w:pPr>
        <w:pStyle w:val="style40"/>
        <w:jc w:val="both"/>
      </w:pPr>
      <w:r>
        <w:rPr>
          <w:rFonts w:ascii="Times New Roman" w:hAnsi="Times New Roman"/>
          <w:b/>
          <w:sz w:val="24"/>
          <w:szCs w:val="24"/>
        </w:rPr>
        <w:t>Периодичность  и  формы   текущего   контроля   и  промежуточной  аттестации.</w:t>
      </w:r>
    </w:p>
    <w:p>
      <w:pPr>
        <w:pStyle w:val="style40"/>
        <w:jc w:val="both"/>
      </w:pPr>
      <w:r>
        <w:rPr>
          <w:rFonts w:ascii="Times New Roman" w:hAnsi="Times New Roman"/>
          <w:sz w:val="24"/>
          <w:szCs w:val="24"/>
        </w:rPr>
        <w:t>Контроль осуществляется по всем видам речевой деятельности: говорению, чтению, письму, аудированию на основе критериального оценивания по 5-балльной системе (текущий, административный- входной, промежуточный, тематический, итоговый контроль). Критериальное оценивание работы ученика осуществляется на уроке, по окончанию прохождения темы; административный контроль (проверка ЗУН по различным видам речевой деятельности) проводится 1 раз в четверть. Формы контроля: - тесты по чтению включают в себя задания на установление соответствия и задания с выбором правильного ответа из предложенных (выбор ответа на вопрос по содержанию текста, выбор правильных/ неправильных утверждений, выбор заголовка из серии предложенных и т.д.); - тестовые задания по грамматике и лексике, аудированию, предполагающие правильный выбор из нескольких вариантов; - контроль монологической и диалогической речи по предложенным ситуациям; - контроль навыков письма по предложенным ситуациям и образцу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>
      <w:pPr>
        <w:pStyle w:val="style40"/>
        <w:jc w:val="both"/>
      </w:pPr>
      <w:r>
        <w:rPr/>
      </w:r>
    </w:p>
    <w:p>
      <w:pPr>
        <w:pStyle w:val="style40"/>
        <w:jc w:val="both"/>
      </w:pPr>
      <w:r>
        <w:rPr>
          <w:rFonts w:ascii="Times New Roman" w:hAnsi="Times New Roman"/>
          <w:b/>
          <w:sz w:val="24"/>
          <w:szCs w:val="24"/>
        </w:rPr>
        <w:t>Контрольные  работы</w:t>
      </w:r>
    </w:p>
    <w:p>
      <w:pPr>
        <w:pStyle w:val="style40"/>
        <w:jc w:val="both"/>
      </w:pPr>
      <w:r>
        <w:rPr>
          <w:rFonts w:ascii="Times New Roman" w:hAnsi="Times New Roman"/>
          <w:b/>
          <w:sz w:val="24"/>
          <w:szCs w:val="24"/>
        </w:rPr>
        <w:t>5класс-6 контрольных  работ</w:t>
      </w:r>
    </w:p>
    <w:p>
      <w:pPr>
        <w:pStyle w:val="style40"/>
        <w:jc w:val="both"/>
      </w:pPr>
      <w:r>
        <w:rPr>
          <w:rFonts w:ascii="Times New Roman" w:hAnsi="Times New Roman"/>
          <w:b/>
          <w:sz w:val="24"/>
          <w:szCs w:val="24"/>
        </w:rPr>
        <w:t>6  класс-5 контрольных  работ</w:t>
      </w:r>
    </w:p>
    <w:p>
      <w:pPr>
        <w:pStyle w:val="style40"/>
        <w:jc w:val="both"/>
      </w:pPr>
      <w:r>
        <w:rPr>
          <w:rFonts w:ascii="Times New Roman" w:hAnsi="Times New Roman"/>
          <w:b/>
          <w:sz w:val="24"/>
          <w:szCs w:val="24"/>
        </w:rPr>
        <w:t>7  класс-2  контрольных  работы</w:t>
      </w:r>
    </w:p>
    <w:p>
      <w:pPr>
        <w:pStyle w:val="style40"/>
        <w:jc w:val="both"/>
      </w:pPr>
      <w:r>
        <w:rPr>
          <w:rFonts w:ascii="Times New Roman" w:hAnsi="Times New Roman"/>
          <w:b/>
          <w:sz w:val="24"/>
          <w:szCs w:val="24"/>
        </w:rPr>
        <w:t>8 класс-8 контрольных  работ</w:t>
      </w:r>
    </w:p>
    <w:p>
      <w:pPr>
        <w:pStyle w:val="style40"/>
        <w:jc w:val="both"/>
      </w:pPr>
      <w:r>
        <w:rPr>
          <w:rFonts w:ascii="Times New Roman" w:hAnsi="Times New Roman"/>
          <w:b/>
          <w:sz w:val="24"/>
          <w:szCs w:val="24"/>
        </w:rPr>
        <w:t>9  класс-4  контрольных  работы</w:t>
      </w:r>
    </w:p>
    <w:p>
      <w:pPr>
        <w:pStyle w:val="style40"/>
        <w:jc w:val="both"/>
      </w:pPr>
      <w:r>
        <w:rPr/>
      </w:r>
    </w:p>
    <w:p>
      <w:pPr>
        <w:pStyle w:val="style40"/>
        <w:jc w:val="both"/>
      </w:pPr>
      <w:r>
        <w:rPr/>
      </w:r>
    </w:p>
    <w:p>
      <w:pPr>
        <w:pStyle w:val="style40"/>
        <w:jc w:val="both"/>
      </w:pPr>
      <w:r>
        <w:rPr/>
      </w:r>
    </w:p>
    <w:p>
      <w:pPr>
        <w:pStyle w:val="style40"/>
        <w:jc w:val="both"/>
      </w:pPr>
      <w:r>
        <w:rPr/>
      </w:r>
    </w:p>
    <w:p>
      <w:pPr>
        <w:pStyle w:val="style0"/>
        <w:jc w:val="both"/>
      </w:pPr>
      <w:r>
        <w:rPr/>
      </w:r>
    </w:p>
    <w:sectPr>
      <w:type w:val="nextPage"/>
      <w:pgSz w:h="11906" w:orient="landscape" w:w="16838"/>
      <w:pgMar w:bottom="851" w:footer="0" w:gutter="0" w:header="0" w:left="851" w:right="851" w:top="72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Times New Roman">
    <w:altName w:val="sans-serif"/>
    <w:charset w:val="cc"/>
    <w:family w:val="roman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1485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1485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2205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925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3645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4365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5085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805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6525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7245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2204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2924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3644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4364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5084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5804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6524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7244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7964"/>
      </w:pPr>
      <w:rPr>
        <w:rFonts w:ascii="Wingdings" w:cs="Wingdings" w:hAnsi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00000A"/>
      <w:sz w:val="24"/>
      <w:szCs w:val="24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Без интервала Знак"/>
    <w:next w:val="style16"/>
    <w:rPr>
      <w:rFonts w:ascii="Calibri" w:cs="Times New Roman" w:eastAsia="Calibri" w:hAnsi="Calibri"/>
    </w:rPr>
  </w:style>
  <w:style w:styleId="style17" w:type="character">
    <w:name w:val="apple-converted-space"/>
    <w:basedOn w:val="style15"/>
    <w:next w:val="style17"/>
    <w:rPr/>
  </w:style>
  <w:style w:styleId="style18" w:type="character">
    <w:name w:val="Верхний колонтитул Знак"/>
    <w:basedOn w:val="style15"/>
    <w:next w:val="style18"/>
    <w:rPr>
      <w:rFonts w:ascii="Times New Roman" w:cs="Times New Roman" w:eastAsia="Times New Roman" w:hAnsi="Times New Roman"/>
      <w:sz w:val="24"/>
      <w:szCs w:val="24"/>
      <w:lang w:eastAsia="ru-RU"/>
    </w:rPr>
  </w:style>
  <w:style w:styleId="style19" w:type="character">
    <w:name w:val="Нижний колонтитул Знак"/>
    <w:basedOn w:val="style15"/>
    <w:next w:val="style19"/>
    <w:rPr>
      <w:rFonts w:ascii="Times New Roman" w:cs="Times New Roman" w:eastAsia="Times New Roman" w:hAnsi="Times New Roman"/>
      <w:sz w:val="24"/>
      <w:szCs w:val="24"/>
      <w:lang w:eastAsia="ru-RU"/>
    </w:rPr>
  </w:style>
  <w:style w:styleId="style20" w:type="character">
    <w:name w:val="ListLabel 1"/>
    <w:next w:val="style20"/>
    <w:rPr>
      <w:b w:val="false"/>
    </w:rPr>
  </w:style>
  <w:style w:styleId="style21" w:type="character">
    <w:name w:val="ListLabel 2"/>
    <w:next w:val="style21"/>
    <w:rPr>
      <w:rFonts w:cs="Times New Roman" w:eastAsia="Calibri"/>
      <w:b w:val="false"/>
    </w:rPr>
  </w:style>
  <w:style w:styleId="style22" w:type="character">
    <w:name w:val="ListLabel 3"/>
    <w:next w:val="style22"/>
    <w:rPr>
      <w:rFonts w:cs="Courier New"/>
    </w:rPr>
  </w:style>
  <w:style w:styleId="style23" w:type="character">
    <w:name w:val="ListLabel 4"/>
    <w:next w:val="style23"/>
    <w:rPr>
      <w:rFonts w:cs="Times New Roman" w:eastAsia="Calibri"/>
    </w:rPr>
  </w:style>
  <w:style w:styleId="style24" w:type="character">
    <w:name w:val="ListLabel 5"/>
    <w:next w:val="style24"/>
    <w:rPr>
      <w:rFonts w:cs="Symbol"/>
    </w:rPr>
  </w:style>
  <w:style w:styleId="style25" w:type="character">
    <w:name w:val="ListLabel 6"/>
    <w:next w:val="style25"/>
    <w:rPr>
      <w:rFonts w:cs="Courier New"/>
    </w:rPr>
  </w:style>
  <w:style w:styleId="style26" w:type="character">
    <w:name w:val="ListLabel 7"/>
    <w:next w:val="style26"/>
    <w:rPr>
      <w:rFonts w:cs="Wingdings"/>
    </w:rPr>
  </w:style>
  <w:style w:styleId="style27" w:type="character">
    <w:name w:val="Текст выноски Знак"/>
    <w:basedOn w:val="style15"/>
    <w:next w:val="style27"/>
    <w:rPr>
      <w:rFonts w:ascii="Tahoma" w:cs="Tahoma" w:hAnsi="Tahoma"/>
      <w:sz w:val="16"/>
      <w:szCs w:val="16"/>
    </w:rPr>
  </w:style>
  <w:style w:styleId="style28" w:type="character">
    <w:name w:val="ListLabel 8"/>
    <w:next w:val="style28"/>
    <w:rPr>
      <w:rFonts w:cs="Symbol"/>
    </w:rPr>
  </w:style>
  <w:style w:styleId="style29" w:type="character">
    <w:name w:val="ListLabel 9"/>
    <w:next w:val="style29"/>
    <w:rPr>
      <w:rFonts w:cs="Courier New"/>
    </w:rPr>
  </w:style>
  <w:style w:styleId="style30" w:type="character">
    <w:name w:val="ListLabel 10"/>
    <w:next w:val="style30"/>
    <w:rPr>
      <w:rFonts w:cs="Wingdings"/>
    </w:rPr>
  </w:style>
  <w:style w:styleId="style31" w:type="character">
    <w:name w:val="Выделение жирным"/>
    <w:next w:val="style31"/>
    <w:rPr>
      <w:b/>
      <w:bCs/>
    </w:rPr>
  </w:style>
  <w:style w:styleId="style32" w:type="paragraph">
    <w:name w:val="Заголовок"/>
    <w:basedOn w:val="style0"/>
    <w:next w:val="style33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33" w:type="paragraph">
    <w:name w:val="Основной текст"/>
    <w:basedOn w:val="style0"/>
    <w:next w:val="style33"/>
    <w:pPr>
      <w:spacing w:after="120" w:before="0"/>
      <w:contextualSpacing w:val="false"/>
    </w:pPr>
    <w:rPr/>
  </w:style>
  <w:style w:styleId="style34" w:type="paragraph">
    <w:name w:val="Список"/>
    <w:basedOn w:val="style33"/>
    <w:next w:val="style34"/>
    <w:pPr/>
    <w:rPr>
      <w:rFonts w:cs="Mangal"/>
    </w:rPr>
  </w:style>
  <w:style w:styleId="style35" w:type="paragraph">
    <w:name w:val="Название"/>
    <w:basedOn w:val="style0"/>
    <w:next w:val="style35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6" w:type="paragraph">
    <w:name w:val="Указатель"/>
    <w:basedOn w:val="style0"/>
    <w:next w:val="style36"/>
    <w:pPr>
      <w:suppressLineNumbers/>
    </w:pPr>
    <w:rPr>
      <w:rFonts w:cs="Mangal"/>
    </w:rPr>
  </w:style>
  <w:style w:styleId="style37" w:type="paragraph">
    <w:name w:val="Заглавие"/>
    <w:basedOn w:val="style0"/>
    <w:next w:val="style37"/>
    <w:pPr>
      <w:suppressLineNumbers/>
      <w:spacing w:after="120" w:before="120"/>
      <w:contextualSpacing w:val="false"/>
    </w:pPr>
    <w:rPr>
      <w:rFonts w:cs="Mangal"/>
      <w:i/>
      <w:iCs/>
    </w:rPr>
  </w:style>
  <w:style w:styleId="style38" w:type="paragraph">
    <w:name w:val="index heading"/>
    <w:basedOn w:val="style0"/>
    <w:next w:val="style38"/>
    <w:pPr>
      <w:suppressLineNumbers/>
    </w:pPr>
    <w:rPr>
      <w:rFonts w:cs="Mangal"/>
    </w:rPr>
  </w:style>
  <w:style w:styleId="style39" w:type="paragraph">
    <w:name w:val="List Paragraph"/>
    <w:basedOn w:val="style0"/>
    <w:next w:val="style39"/>
    <w:pPr>
      <w:spacing w:after="0" w:before="0"/>
      <w:ind w:hanging="0" w:left="720" w:right="0"/>
      <w:contextualSpacing/>
    </w:pPr>
    <w:rPr/>
  </w:style>
  <w:style w:styleId="style40" w:type="paragraph">
    <w:name w:val="No Spacing"/>
    <w:next w:val="style40"/>
    <w:pPr>
      <w:widowControl/>
      <w:suppressAutoHyphens w:val="true"/>
      <w:spacing w:after="0" w:before="0" w:line="100" w:lineRule="atLeast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41" w:type="paragraph">
    <w:name w:val="Normal (Web)"/>
    <w:basedOn w:val="style0"/>
    <w:next w:val="style41"/>
    <w:pPr>
      <w:spacing w:after="28" w:before="28"/>
      <w:contextualSpacing w:val="false"/>
    </w:pPr>
    <w:rPr/>
  </w:style>
  <w:style w:styleId="style42" w:type="paragraph">
    <w:name w:val="Верхний колонтитул"/>
    <w:basedOn w:val="style0"/>
    <w:next w:val="style42"/>
    <w:pPr>
      <w:tabs>
        <w:tab w:leader="none" w:pos="4677" w:val="center"/>
        <w:tab w:leader="none" w:pos="9355" w:val="right"/>
      </w:tabs>
    </w:pPr>
    <w:rPr/>
  </w:style>
  <w:style w:styleId="style43" w:type="paragraph">
    <w:name w:val="Нижний колонтитул"/>
    <w:basedOn w:val="style0"/>
    <w:next w:val="style43"/>
    <w:pPr>
      <w:tabs>
        <w:tab w:leader="none" w:pos="4677" w:val="center"/>
        <w:tab w:leader="none" w:pos="9355" w:val="right"/>
      </w:tabs>
    </w:pPr>
    <w:rPr/>
  </w:style>
  <w:style w:styleId="style44" w:type="paragraph">
    <w:name w:val="Содержимое таблицы"/>
    <w:basedOn w:val="style0"/>
    <w:next w:val="style44"/>
    <w:pPr/>
    <w:rPr/>
  </w:style>
  <w:style w:styleId="style45" w:type="paragraph">
    <w:name w:val="WW-Базовый"/>
    <w:next w:val="style45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Times New Roman" w:hAnsi="Calibri"/>
      <w:color w:val="00000A"/>
      <w:sz w:val="22"/>
      <w:szCs w:val="22"/>
      <w:lang w:bidi="ar-SA" w:eastAsia="zh-CN" w:val="ru-RU"/>
    </w:rPr>
  </w:style>
  <w:style w:styleId="style46" w:type="paragraph">
    <w:name w:val="Balloon Text"/>
    <w:basedOn w:val="style0"/>
    <w:next w:val="style46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2019-11-14T09:27:00.00Z</dcterms:created>
  <dc:creator>школа</dc:creator>
  <cp:lastModifiedBy>Нюта</cp:lastModifiedBy>
  <dcterms:modified xsi:type="dcterms:W3CDTF">2021-11-29T15:58:00.00Z</dcterms:modified>
  <cp:revision>22</cp:revision>
</cp:coreProperties>
</file>