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-1071880</wp:posOffset>
            </wp:positionV>
            <wp:extent cx="9540875" cy="6931025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693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Аннотация к рабочим программам разрабатывалась на основе следующих нормативных документов: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 xml:space="preserve">Закон РФ </w:t>
      </w: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rFonts w:ascii="Times New Roman CYR" w:cs="Times New Roman CYR" w:hAnsi="Times New Roman CYR"/>
          <w:sz w:val="24"/>
          <w:szCs w:val="24"/>
        </w:rPr>
        <w:t>Об образовании в Российской Федерации</w:t>
      </w:r>
      <w:r>
        <w:rPr>
          <w:rFonts w:ascii="Times New Roman" w:cs="Times New Roman" w:hAnsi="Times New Roman"/>
          <w:sz w:val="24"/>
          <w:szCs w:val="24"/>
        </w:rPr>
        <w:t xml:space="preserve">» </w:t>
      </w:r>
      <w:r>
        <w:rPr>
          <w:rFonts w:ascii="Times New Roman CYR" w:cs="Times New Roman CYR" w:hAnsi="Times New Roman CYR"/>
          <w:sz w:val="24"/>
          <w:szCs w:val="24"/>
        </w:rPr>
        <w:t>от 29 декабря 2012 года № 273- ФЗ;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Федеральный государственный образовательный стандарт основного общего образования;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 xml:space="preserve">Приказ Минобрнауки России от 17 декабря 2010г. № 1897 </w:t>
      </w: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rFonts w:ascii="Times New Roman CYR" w:cs="Times New Roman CYR" w:hAnsi="Times New Roman CYR"/>
          <w:sz w:val="24"/>
          <w:szCs w:val="24"/>
        </w:rPr>
        <w:t>Об утверждении федерального государственного образовательного стандарта основного общего образования</w:t>
      </w:r>
      <w:r>
        <w:rPr>
          <w:rFonts w:ascii="Times New Roman" w:cs="Times New Roman" w:hAnsi="Times New Roman"/>
          <w:sz w:val="24"/>
          <w:szCs w:val="24"/>
        </w:rPr>
        <w:t>»;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 CYR" w:cs="Times New Roman CYR" w:hAnsi="Times New Roman CYR"/>
          <w:color w:val="333333"/>
          <w:sz w:val="24"/>
          <w:szCs w:val="24"/>
          <w:shd w:fill="FFFFFF" w:val="clear"/>
        </w:rPr>
        <w:t xml:space="preserve"> </w:t>
      </w:r>
      <w:r>
        <w:rPr>
          <w:rFonts w:ascii="Times New Roman CYR" w:cs="Times New Roman CYR" w:hAnsi="Times New Roman CYR"/>
          <w:color w:val="333333"/>
          <w:sz w:val="24"/>
          <w:szCs w:val="24"/>
          <w:shd w:fill="FFFFFF" w:val="clear"/>
        </w:rPr>
        <w:t>Приказ</w:t>
      </w:r>
      <w:r>
        <w:rPr>
          <w:rFonts w:ascii="Times New Roman" w:cs="Times New Roman" w:hAnsi="Times New Roman"/>
          <w:color w:val="333333"/>
          <w:sz w:val="24"/>
          <w:szCs w:val="24"/>
          <w:shd w:fill="FFFFFF" w:val="clear"/>
          <w:lang w:val="en-US"/>
        </w:rPr>
        <w:t> </w:t>
      </w:r>
      <w:r>
        <w:rPr>
          <w:rFonts w:ascii="Times New Roman CYR" w:cs="Times New Roman CYR" w:hAnsi="Times New Roman CYR"/>
          <w:color w:val="333333"/>
          <w:sz w:val="24"/>
          <w:szCs w:val="24"/>
          <w:shd w:fill="FFFFFF" w:val="clear"/>
        </w:rPr>
        <w:t>Минобразования РФ от 5 марта 2004 г. N 1089 "Об утверждении федерального компонента</w:t>
      </w:r>
      <w:r>
        <w:rPr>
          <w:rFonts w:ascii="Times New Roman" w:cs="Times New Roman" w:hAnsi="Times New Roman"/>
          <w:color w:val="333333"/>
          <w:sz w:val="24"/>
          <w:szCs w:val="24"/>
          <w:shd w:fill="FFFFFF" w:val="clear"/>
          <w:lang w:val="en-US"/>
        </w:rPr>
        <w:t> </w:t>
      </w:r>
      <w:r>
        <w:rPr>
          <w:rFonts w:ascii="Times New Roman CYR" w:cs="Times New Roman CYR" w:hAnsi="Times New Roman CYR"/>
          <w:color w:val="333333"/>
          <w:sz w:val="24"/>
          <w:szCs w:val="24"/>
          <w:shd w:fill="FFFFFF" w:val="clear"/>
        </w:rPr>
        <w:t>государственных</w:t>
      </w:r>
      <w:r>
        <w:rPr>
          <w:rFonts w:ascii="Times New Roman" w:cs="Times New Roman" w:hAnsi="Times New Roman"/>
          <w:color w:val="333333"/>
          <w:sz w:val="24"/>
          <w:szCs w:val="24"/>
          <w:shd w:fill="FFFFFF" w:val="clear"/>
          <w:lang w:val="en-US"/>
        </w:rPr>
        <w:t> </w:t>
      </w:r>
      <w:r>
        <w:rPr>
          <w:rFonts w:ascii="Times New Roman CYR" w:cs="Times New Roman CYR" w:hAnsi="Times New Roman CYR"/>
          <w:color w:val="333333"/>
          <w:sz w:val="24"/>
          <w:szCs w:val="24"/>
          <w:shd w:fill="FFFFFF" w:val="clear"/>
        </w:rPr>
        <w:t>образовательных стандартов начального общего, основного общего и среднего (полного) общего образования";</w:t>
      </w:r>
      <w:r>
        <w:rPr>
          <w:rFonts w:ascii="Times New Roman" w:cs="Times New Roman" w:hAnsi="Times New Roman"/>
          <w:color w:val="333333"/>
          <w:sz w:val="24"/>
          <w:szCs w:val="24"/>
          <w:shd w:fill="FFFFFF" w:val="clear"/>
          <w:lang w:val="en-US"/>
        </w:rPr>
        <w:t> 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 xml:space="preserve">Приказ Министерства образования и науки Российской Федерации от 31.12.2015г. № 1577 </w:t>
      </w: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rFonts w:ascii="Times New Roman CYR" w:cs="Times New Roman CYR" w:hAnsi="Times New Roman CYR"/>
          <w:sz w:val="24"/>
          <w:szCs w:val="24"/>
        </w:rPr>
        <w:t>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</w:t>
      </w:r>
      <w:r>
        <w:rPr>
          <w:rFonts w:ascii="Times New Roman" w:cs="Times New Roman" w:hAnsi="Times New Roman"/>
          <w:sz w:val="24"/>
          <w:szCs w:val="24"/>
        </w:rPr>
        <w:t xml:space="preserve">»;    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 xml:space="preserve">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1089";  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Устав Муниципального автономного общеобразовательного учреждения  Бегишевская средняя общеобразовательная школа;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 xml:space="preserve">Учебный план </w:t>
      </w:r>
      <w:r>
        <w:rPr>
          <w:rFonts w:ascii="Times New Roman CYR" w:cs="Times New Roman CYR" w:hAnsi="Times New Roman CYR"/>
          <w:sz w:val="24"/>
          <w:szCs w:val="24"/>
          <w:shd w:fill="FFFFFF" w:val="clear"/>
        </w:rPr>
        <w:t xml:space="preserve"> Муниципального автономного общеобразовательного учреждения  Бегишевская средняя общеобразовательная школа;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Годовой учебный календарный график на текущий учебный год;</w:t>
      </w:r>
    </w:p>
    <w:p>
      <w:pPr>
        <w:pStyle w:val="style0"/>
        <w:widowControl w:val="false"/>
        <w:numPr>
          <w:ilvl w:val="0"/>
          <w:numId w:val="1"/>
        </w:numPr>
        <w:tabs>
          <w:tab w:leader="none" w:pos="720" w:val="left"/>
          <w:tab w:leader="none" w:pos="1004" w:val="left"/>
        </w:tabs>
        <w:overflowPunct w:val="false"/>
        <w:spacing w:after="0" w:before="0" w:line="100" w:lineRule="atLeast"/>
        <w:ind w:hanging="360" w:left="720" w:right="0"/>
        <w:contextualSpacing w:val="false"/>
        <w:jc w:val="both"/>
        <w:textAlignment w:val="baseline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Положение о промежуточной, текущей аттестации и переводе обучающихся;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1004" w:val="left"/>
          <w:tab w:leader="none" w:pos="1288" w:val="left"/>
        </w:tabs>
        <w:overflowPunct w:val="false"/>
        <w:spacing w:after="0" w:before="0" w:line="100" w:lineRule="atLeast"/>
        <w:ind w:hanging="360" w:left="720" w:right="0"/>
        <w:contextualSpacing w:val="false"/>
        <w:jc w:val="both"/>
        <w:textAlignment w:val="baseline"/>
      </w:pPr>
      <w:r>
        <w:rPr>
          <w:rFonts w:ascii="Times New Roman" w:cs="Times New Roman" w:hAnsi="Times New Roman"/>
          <w:sz w:val="24"/>
          <w:szCs w:val="24"/>
        </w:rPr>
        <w:t xml:space="preserve">Авторская  программа </w:t>
      </w:r>
      <w:r>
        <w:rPr>
          <w:rFonts w:ascii="Times New Roman" w:cs="Times New Roman" w:eastAsia="Times New Roman" w:hAnsi="Times New Roman"/>
          <w:sz w:val="24"/>
          <w:szCs w:val="24"/>
          <w:lang w:eastAsia="ar-SA"/>
        </w:rPr>
        <w:t xml:space="preserve"> для общеобразовательных учреждений: Русский язык. 5-9 кл. под редакцией </w:t>
      </w:r>
      <w:r>
        <w:rPr>
          <w:rFonts w:ascii="Times New Roman CYR" w:cs="Times New Roman CYR" w:hAnsi="Times New Roman CYR"/>
          <w:color w:val="000000"/>
          <w:sz w:val="24"/>
          <w:szCs w:val="24"/>
        </w:rPr>
        <w:t>М. М. Разумовской, П.А.Леканта</w:t>
      </w:r>
      <w:r>
        <w:rPr>
          <w:rFonts w:ascii="Times New Roman" w:cs="Times New Roman" w:eastAsia="Times New Roman" w:hAnsi="Times New Roman"/>
          <w:sz w:val="24"/>
          <w:szCs w:val="24"/>
          <w:lang w:eastAsia="ar-SA"/>
        </w:rPr>
        <w:t xml:space="preserve"> / сост. Г.В.Цветкова.- </w:t>
      </w:r>
      <w:r>
        <w:rPr>
          <w:rFonts w:ascii="Times New Roman CYR" w:cs="Times New Roman CYR" w:hAnsi="Times New Roman CYR"/>
          <w:color w:val="000000"/>
          <w:sz w:val="24"/>
          <w:szCs w:val="24"/>
        </w:rPr>
        <w:t xml:space="preserve"> Волгоград: Учитель, 2012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>Учебно-методический комплект</w:t>
      </w:r>
      <w:r>
        <w:rPr>
          <w:rFonts w:ascii="Times New Roman" w:cs="Times New Roman" w:hAnsi="Times New Roman"/>
          <w:sz w:val="24"/>
          <w:szCs w:val="24"/>
        </w:rPr>
        <w:t>: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Разумовская М.М., Львова,С.И., Капинос В.И. и др. Русский язык. 5 класс. М.: Дрофа, 2013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Разумовская М.М., Львова,С.И., Капинос В.И. и др. Русский язык. 6 класс. М.: Дрофа, 2015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Разумовская М.М., Львова,С.И., Капинос В.И. и др. Русский язык. 7 класс. М.: Дрофа, 2015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Разумовская М.М., Львова,С.И., Капинос В.И. и др. Русский язык. 8 класс. М.: Дрофа,  2015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Разумовская М.М., Львова,С.И., Капинос В.И. и др. Русский язык. 9 класс. М.: Дрофа, 2019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Количество часов, отводимое на изучение предмета: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5 </w:t>
      </w:r>
      <w:r>
        <w:rPr>
          <w:rFonts w:ascii="Times New Roman CYR" w:cs="Times New Roman CYR" w:hAnsi="Times New Roman CYR"/>
          <w:color w:val="000000"/>
          <w:sz w:val="24"/>
          <w:szCs w:val="24"/>
        </w:rPr>
        <w:t>класс — 5 часов в неделю, 170 часов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6 </w:t>
      </w:r>
      <w:r>
        <w:rPr>
          <w:rFonts w:ascii="Times New Roman CYR" w:cs="Times New Roman CYR" w:hAnsi="Times New Roman CYR"/>
          <w:sz w:val="24"/>
          <w:szCs w:val="24"/>
        </w:rPr>
        <w:t>класс — 6 часов в неделю, 204 часа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7 </w:t>
      </w:r>
      <w:r>
        <w:rPr>
          <w:rFonts w:ascii="Times New Roman CYR" w:cs="Times New Roman CYR" w:hAnsi="Times New Roman CYR"/>
          <w:sz w:val="24"/>
          <w:szCs w:val="24"/>
        </w:rPr>
        <w:t>класс — 4 часа в неделю, 136 часов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8 </w:t>
      </w:r>
      <w:r>
        <w:rPr>
          <w:rFonts w:ascii="Times New Roman CYR" w:cs="Times New Roman CYR" w:hAnsi="Times New Roman CYR"/>
          <w:sz w:val="24"/>
          <w:szCs w:val="24"/>
        </w:rPr>
        <w:t>класс — 3 часа в неделю, 102</w:t>
      </w:r>
      <w:r>
        <w:rPr>
          <w:rFonts w:ascii="Times New Roman" w:cs="Times New Roman" w:hAnsi="Times New Roman"/>
          <w:sz w:val="24"/>
          <w:szCs w:val="24"/>
          <w:lang w:val="en-US"/>
        </w:rPr>
        <w:t> 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часа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9 </w:t>
      </w:r>
      <w:r>
        <w:rPr>
          <w:rFonts w:ascii="Times New Roman CYR" w:cs="Times New Roman CYR" w:hAnsi="Times New Roman CYR"/>
          <w:sz w:val="24"/>
          <w:szCs w:val="24"/>
        </w:rPr>
        <w:t>класс — 3 часа в неделю, 102 часа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Цели и задачи изучения предмета: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bCs/>
          <w:sz w:val="24"/>
          <w:szCs w:val="24"/>
        </w:rPr>
        <w:t xml:space="preserve">     </w:t>
      </w:r>
      <w:r>
        <w:rPr>
          <w:rFonts w:ascii="Times New Roman CYR" w:cs="Times New Roman CYR" w:hAnsi="Times New Roman CYR"/>
          <w:bCs/>
          <w:sz w:val="24"/>
          <w:szCs w:val="24"/>
        </w:rPr>
        <w:t>Главная цель обучения русскому языку в общеобразовательном учреждении состоит в том, чтобы обеспечить языковое развитие учащихся, помочь им овладеть речевой деятельностью: сформировать умения и навыки грамотного письма, рационального чтения, полноценного восприятия звучащей речи, научить их свободно говорить и писать на родном языке, пользоваться им в жизни как основным средством общения.</w:t>
      </w:r>
    </w:p>
    <w:p>
      <w:pPr>
        <w:pStyle w:val="style34"/>
        <w:spacing w:line="100" w:lineRule="atLeast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Задачи обучения:</w:t>
      </w:r>
    </w:p>
    <w:p>
      <w:pPr>
        <w:pStyle w:val="style34"/>
        <w:numPr>
          <w:ilvl w:val="0"/>
          <w:numId w:val="1"/>
        </w:numPr>
        <w:tabs>
          <w:tab w:leader="none" w:pos="1004" w:val="left"/>
        </w:tabs>
        <w:spacing w:line="100" w:lineRule="atLeast"/>
        <w:ind w:hanging="360" w:left="720" w:right="0"/>
        <w:jc w:val="both"/>
      </w:pPr>
      <w:r>
        <w:rPr>
          <w:rFonts w:ascii="Times New Roman" w:hAnsi="Times New Roman"/>
          <w:sz w:val="24"/>
          <w:szCs w:val="24"/>
        </w:rPr>
        <w:t>приобретение знаний о языке как знаковой системе и общественном явлении, его устройстве, развитии и функционировании;</w:t>
      </w:r>
    </w:p>
    <w:p>
      <w:pPr>
        <w:pStyle w:val="style34"/>
        <w:numPr>
          <w:ilvl w:val="0"/>
          <w:numId w:val="1"/>
        </w:numPr>
        <w:tabs>
          <w:tab w:leader="none" w:pos="1004" w:val="left"/>
        </w:tabs>
        <w:spacing w:line="100" w:lineRule="atLeast"/>
        <w:ind w:hanging="360" w:left="720" w:right="0"/>
        <w:jc w:val="both"/>
      </w:pPr>
      <w:r>
        <w:rPr>
          <w:rFonts w:ascii="Times New Roman" w:hAnsi="Times New Roman"/>
          <w:sz w:val="24"/>
          <w:szCs w:val="24"/>
        </w:rPr>
        <w:t>формирование способностей к анализу и оценке языковых явлений и фактов; умения пользоваться различными лингвистическими словарями; совершенствование умений и навыков письменной речи;</w:t>
      </w:r>
    </w:p>
    <w:p>
      <w:pPr>
        <w:pStyle w:val="style34"/>
        <w:numPr>
          <w:ilvl w:val="0"/>
          <w:numId w:val="1"/>
        </w:numPr>
        <w:tabs>
          <w:tab w:leader="none" w:pos="1004" w:val="left"/>
        </w:tabs>
        <w:spacing w:line="100" w:lineRule="atLeast"/>
        <w:ind w:hanging="360" w:left="720" w:right="0"/>
        <w:jc w:val="both"/>
      </w:pPr>
      <w:r>
        <w:rPr>
          <w:rFonts w:ascii="Times New Roman" w:hAnsi="Times New Roman"/>
          <w:sz w:val="24"/>
          <w:szCs w:val="24"/>
        </w:rPr>
        <w:t>освоение компетенций – коммуникативной, языковедческой и культуроведческой.</w:t>
      </w:r>
    </w:p>
    <w:p>
      <w:pPr>
        <w:pStyle w:val="style34"/>
        <w:numPr>
          <w:ilvl w:val="0"/>
          <w:numId w:val="1"/>
        </w:numPr>
        <w:tabs>
          <w:tab w:leader="none" w:pos="1004" w:val="left"/>
        </w:tabs>
        <w:spacing w:line="100" w:lineRule="atLeast"/>
        <w:ind w:hanging="360" w:left="720" w:right="0"/>
        <w:jc w:val="both"/>
      </w:pPr>
      <w:r>
        <w:rPr>
          <w:rFonts w:ascii="Times New Roman" w:hAnsi="Times New Roman"/>
          <w:sz w:val="24"/>
          <w:szCs w:val="24"/>
        </w:rPr>
        <w:t>Коммуникативная компетенция - овладение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учащихся основной школы на разных ее этапах (V - VII, VIII - IX классы).</w:t>
      </w:r>
    </w:p>
    <w:p>
      <w:pPr>
        <w:pStyle w:val="style34"/>
        <w:numPr>
          <w:ilvl w:val="0"/>
          <w:numId w:val="1"/>
        </w:numPr>
        <w:tabs>
          <w:tab w:leader="none" w:pos="1004" w:val="left"/>
        </w:tabs>
        <w:spacing w:line="100" w:lineRule="atLeast"/>
        <w:ind w:hanging="360" w:left="720" w:right="0"/>
        <w:jc w:val="both"/>
      </w:pPr>
      <w:r>
        <w:rPr>
          <w:rFonts w:ascii="Times New Roman" w:hAnsi="Times New Roman"/>
          <w:sz w:val="24"/>
          <w:szCs w:val="24"/>
        </w:rPr>
        <w:t>Языковая и лингвистическая (языковедческая) компетенции - освоение знаний о языке как знаковой системе и общественном явлении, его устройстве, развитии и функционировании; общих сведений о лингвистике как науке и ученых-русистах; овладение основными нормами русского литературного языка, обогащение словарного запаса и грамматического строя речи учащихся; формирование способности к анализу и оценке языковых явлений и фактов; умение пользоваться различными лингвистическими словарями.</w:t>
      </w:r>
    </w:p>
    <w:p>
      <w:pPr>
        <w:pStyle w:val="style34"/>
        <w:numPr>
          <w:ilvl w:val="0"/>
          <w:numId w:val="1"/>
        </w:numPr>
        <w:tabs>
          <w:tab w:leader="none" w:pos="1004" w:val="left"/>
        </w:tabs>
        <w:spacing w:line="100" w:lineRule="atLeast"/>
        <w:ind w:hanging="360" w:left="720" w:right="0"/>
        <w:jc w:val="both"/>
      </w:pPr>
      <w:r>
        <w:rPr>
          <w:rFonts w:ascii="Times New Roman" w:cs="Times New Roman CYR" w:hAnsi="Times New Roman"/>
          <w:sz w:val="24"/>
          <w:szCs w:val="24"/>
        </w:rPr>
        <w:t>Культуроведческая компетенция -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Периодичность и формы текущего контроля и промежуточной аттестации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    </w:t>
      </w:r>
      <w:r>
        <w:rPr>
          <w:rFonts w:ascii="Times New Roman CYR" w:cs="Times New Roman CYR" w:hAnsi="Times New Roman CYR"/>
          <w:sz w:val="24"/>
          <w:szCs w:val="24"/>
        </w:rPr>
        <w:t>Предусмотрены разнообразные виды (вводный, текущий, промежуточный, тематический, итоговый) и формы контроля:</w:t>
      </w:r>
    </w:p>
    <w:p>
      <w:pPr>
        <w:pStyle w:val="style0"/>
        <w:numPr>
          <w:ilvl w:val="0"/>
          <w:numId w:val="1"/>
        </w:numPr>
        <w:tabs>
          <w:tab w:leader="none" w:pos="10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 xml:space="preserve">диктанты (объяснительный, предупредительный, </w:t>
      </w: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rFonts w:ascii="Times New Roman CYR" w:cs="Times New Roman CYR" w:hAnsi="Times New Roman CYR"/>
          <w:sz w:val="24"/>
          <w:szCs w:val="24"/>
        </w:rPr>
        <w:t>Проверяю себя</w:t>
      </w:r>
      <w:r>
        <w:rPr>
          <w:rFonts w:ascii="Times New Roman" w:cs="Times New Roman" w:hAnsi="Times New Roman"/>
          <w:sz w:val="24"/>
          <w:szCs w:val="24"/>
        </w:rPr>
        <w:t xml:space="preserve">», </w:t>
      </w:r>
      <w:r>
        <w:rPr>
          <w:rFonts w:ascii="Times New Roman CYR" w:cs="Times New Roman CYR" w:hAnsi="Times New Roman CYR"/>
          <w:sz w:val="24"/>
          <w:szCs w:val="24"/>
        </w:rPr>
        <w:t>графический, выборочный, распределительный, творческий (с дополнительным заданием), цифровой, контрольный, морфемный);</w:t>
      </w:r>
    </w:p>
    <w:p>
      <w:pPr>
        <w:pStyle w:val="style0"/>
        <w:numPr>
          <w:ilvl w:val="0"/>
          <w:numId w:val="1"/>
        </w:numPr>
        <w:tabs>
          <w:tab w:leader="none" w:pos="10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тест;</w:t>
      </w:r>
    </w:p>
    <w:p>
      <w:pPr>
        <w:pStyle w:val="style0"/>
        <w:numPr>
          <w:ilvl w:val="0"/>
          <w:numId w:val="1"/>
        </w:numPr>
        <w:tabs>
          <w:tab w:leader="none" w:pos="10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комплексный анализ текста;</w:t>
      </w:r>
    </w:p>
    <w:p>
      <w:pPr>
        <w:pStyle w:val="style0"/>
        <w:numPr>
          <w:ilvl w:val="0"/>
          <w:numId w:val="1"/>
        </w:numPr>
        <w:tabs>
          <w:tab w:leader="none" w:pos="10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устные рассказы по плану на лингвистические темы;</w:t>
      </w:r>
    </w:p>
    <w:p>
      <w:pPr>
        <w:pStyle w:val="style0"/>
        <w:numPr>
          <w:ilvl w:val="0"/>
          <w:numId w:val="1"/>
        </w:numPr>
        <w:tabs>
          <w:tab w:leader="none" w:pos="10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сочинения;</w:t>
      </w:r>
    </w:p>
    <w:p>
      <w:pPr>
        <w:pStyle w:val="style0"/>
        <w:numPr>
          <w:ilvl w:val="0"/>
          <w:numId w:val="1"/>
        </w:numPr>
        <w:tabs>
          <w:tab w:leader="none" w:pos="10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изложения </w:t>
      </w:r>
    </w:p>
    <w:p>
      <w:pPr>
        <w:pStyle w:val="style32"/>
        <w:numPr>
          <w:ilvl w:val="0"/>
          <w:numId w:val="1"/>
        </w:numPr>
        <w:tabs>
          <w:tab w:leader="none" w:pos="1724" w:val="left"/>
        </w:tabs>
        <w:suppressAutoHyphens w:val="false"/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cs="Times New Roman" w:eastAsia="Calibri" w:hAnsi="Times New Roman"/>
          <w:bCs/>
          <w:iCs/>
          <w:sz w:val="24"/>
          <w:szCs w:val="24"/>
        </w:rPr>
        <w:t>промежуточная аттестация:  5 кл. - 9 кл. – контрольный диктант с грамматическим заданием.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    </w:t>
      </w:r>
      <w:r>
        <w:rPr>
          <w:rFonts w:ascii="Times New Roman CYR" w:cs="Times New Roman CYR" w:hAnsi="Times New Roman CYR"/>
          <w:sz w:val="24"/>
          <w:szCs w:val="24"/>
        </w:rPr>
        <w:t>Программой предусмотрено проведение: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в 5 классе уроков развития речи 35, контрольных работ 10;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>в 9 классе  уроков развития речи 20, контрольных работ 6.</w:t>
      </w:r>
    </w:p>
    <w:p>
      <w:pPr>
        <w:pStyle w:val="style0"/>
        <w:spacing w:after="200" w:before="0"/>
        <w:contextualSpacing w:val="false"/>
        <w:jc w:val="both"/>
      </w:pPr>
      <w:r>
        <w:rPr/>
      </w:r>
    </w:p>
    <w:sectPr>
      <w:type w:val="nextPage"/>
      <w:pgSz w:h="11906" w:orient="landscape" w:w="16838"/>
      <w:pgMar w:bottom="850" w:footer="0" w:gutter="0" w:header="0" w:left="851" w:right="962" w:top="1134"/>
      <w:pgNumType w:fmt="decimal"/>
      <w:formProt w:val="false"/>
      <w:textDirection w:val="lrTb"/>
      <w:docGrid w:charSpace="2457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swiss"/>
    <w:pitch w:val="variable"/>
  </w:font>
  <w:font w:name="Times New Roman CYR">
    <w:charset w:val="cc"/>
    <w:family w:val="roman"/>
    <w:pitch w:val="variable"/>
  </w:font>
  <w:font w:name="OpenSymbol">
    <w:altName w:val="Arial Unicode MS"/>
    <w:charset w:val="80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*"/>
      <w:lvlJc w:val="left"/>
      <w:pPr>
        <w:ind w:hanging="360" w:left="720"/>
      </w:pPr>
      <w:rPr>
        <w:rFonts w:ascii="OpenSymbol" w:cs="OpenSymbol" w:hAnsi="OpenSymbol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" w:eastAsia="SimSun" w:hAnsi="Calibri"/>
      <w:color w:val="00000A"/>
      <w:sz w:val="22"/>
      <w:szCs w:val="22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rFonts w:cs="OpenSymbol"/>
    </w:rPr>
  </w:style>
  <w:style w:styleId="style17" w:type="character">
    <w:name w:val="ListLabel 2"/>
    <w:next w:val="style17"/>
    <w:rPr>
      <w:rFonts w:cs="OpenSymbol"/>
    </w:rPr>
  </w:style>
  <w:style w:styleId="style18" w:type="character">
    <w:name w:val="ListLabel 3"/>
    <w:next w:val="style18"/>
    <w:rPr>
      <w:rFonts w:cs="OpenSymbol"/>
    </w:rPr>
  </w:style>
  <w:style w:styleId="style19" w:type="character">
    <w:name w:val="Текст выноски Знак"/>
    <w:basedOn w:val="style15"/>
    <w:next w:val="style19"/>
    <w:rPr>
      <w:rFonts w:ascii="Tahoma" w:cs="Tahoma" w:hAnsi="Tahoma"/>
      <w:sz w:val="16"/>
      <w:szCs w:val="16"/>
    </w:rPr>
  </w:style>
  <w:style w:styleId="style20" w:type="character">
    <w:name w:val="Верхний колонтитул Знак"/>
    <w:basedOn w:val="style15"/>
    <w:next w:val="style20"/>
    <w:rPr/>
  </w:style>
  <w:style w:styleId="style21" w:type="character">
    <w:name w:val="Нижний колонтитул Знак"/>
    <w:basedOn w:val="style15"/>
    <w:next w:val="style21"/>
    <w:rPr/>
  </w:style>
  <w:style w:styleId="style22" w:type="character">
    <w:name w:val="ListLabel 4"/>
    <w:next w:val="style22"/>
    <w:rPr>
      <w:rFonts w:cs="OpenSymbol"/>
    </w:rPr>
  </w:style>
  <w:style w:styleId="style23" w:type="character">
    <w:name w:val="ListLabel 5"/>
    <w:next w:val="style23"/>
    <w:rPr>
      <w:rFonts w:cs="Courier New"/>
    </w:rPr>
  </w:style>
  <w:style w:styleId="style24" w:type="character">
    <w:name w:val="ListLabel 6"/>
    <w:next w:val="style24"/>
    <w:rPr>
      <w:rFonts w:cs="OpenSymbol"/>
    </w:rPr>
  </w:style>
  <w:style w:styleId="style25" w:type="paragraph">
    <w:name w:val="Заголовок"/>
    <w:basedOn w:val="style0"/>
    <w:next w:val="style26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6" w:type="paragraph">
    <w:name w:val="Основной текст"/>
    <w:basedOn w:val="style0"/>
    <w:next w:val="style26"/>
    <w:pPr>
      <w:spacing w:after="120" w:before="0"/>
      <w:contextualSpacing w:val="false"/>
    </w:pPr>
    <w:rPr/>
  </w:style>
  <w:style w:styleId="style27" w:type="paragraph">
    <w:name w:val="Список"/>
    <w:basedOn w:val="style26"/>
    <w:next w:val="style27"/>
    <w:pPr/>
    <w:rPr>
      <w:rFonts w:cs="Mangal"/>
    </w:rPr>
  </w:style>
  <w:style w:styleId="style28" w:type="paragraph">
    <w:name w:val="Название"/>
    <w:basedOn w:val="style0"/>
    <w:next w:val="style28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9" w:type="paragraph">
    <w:name w:val="Указатель"/>
    <w:basedOn w:val="style0"/>
    <w:next w:val="style29"/>
    <w:pPr>
      <w:suppressLineNumbers/>
    </w:pPr>
    <w:rPr>
      <w:rFonts w:cs="Mangal"/>
    </w:rPr>
  </w:style>
  <w:style w:styleId="style30" w:type="paragraph">
    <w:name w:val="Заглавие"/>
    <w:basedOn w:val="style0"/>
    <w:next w:val="style3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1" w:type="paragraph">
    <w:name w:val="index heading"/>
    <w:basedOn w:val="style0"/>
    <w:next w:val="style31"/>
    <w:pPr>
      <w:suppressLineNumbers/>
    </w:pPr>
    <w:rPr>
      <w:rFonts w:cs="Mangal"/>
    </w:rPr>
  </w:style>
  <w:style w:styleId="style32" w:type="paragraph">
    <w:name w:val="List Paragraph"/>
    <w:basedOn w:val="style0"/>
    <w:next w:val="style32"/>
    <w:pPr>
      <w:spacing w:after="200" w:before="0"/>
      <w:ind w:hanging="0" w:left="720" w:right="0"/>
      <w:contextualSpacing/>
    </w:pPr>
    <w:rPr/>
  </w:style>
  <w:style w:styleId="style33" w:type="paragraph">
    <w:name w:val="Содержимое врезки"/>
    <w:basedOn w:val="style26"/>
    <w:next w:val="style33"/>
    <w:pPr/>
    <w:rPr/>
  </w:style>
  <w:style w:styleId="style34" w:type="paragraph">
    <w:name w:val="ConsPlusNormal"/>
    <w:next w:val="style34"/>
    <w:pPr>
      <w:widowControl w:val="false"/>
      <w:suppressAutoHyphens w:val="true"/>
      <w:spacing w:after="0" w:before="0" w:line="100" w:lineRule="atLeast"/>
      <w:contextualSpacing w:val="false"/>
    </w:pPr>
    <w:rPr>
      <w:rFonts w:ascii="Calibri" w:cs="Calibri" w:eastAsia="Times New Roman" w:hAnsi="Calibri"/>
      <w:color w:val="00000A"/>
      <w:sz w:val="20"/>
      <w:szCs w:val="20"/>
      <w:lang w:bidi="ar-SA" w:eastAsia="ru-RU" w:val="ru-RU"/>
    </w:rPr>
  </w:style>
  <w:style w:styleId="style35" w:type="paragraph">
    <w:name w:val="Normal (Web)"/>
    <w:basedOn w:val="style0"/>
    <w:next w:val="style35"/>
    <w:pPr>
      <w:spacing w:after="28" w:before="28" w:line="100" w:lineRule="atLeast"/>
      <w:contextualSpacing w:val="false"/>
    </w:pPr>
    <w:rPr>
      <w:rFonts w:ascii="Times New Roman" w:cs="Times New Roman" w:eastAsia="SimSun" w:hAnsi="Times New Roman"/>
      <w:color w:val="4C3300"/>
      <w:sz w:val="24"/>
      <w:szCs w:val="24"/>
      <w:lang w:eastAsia="zh-CN"/>
    </w:rPr>
  </w:style>
  <w:style w:styleId="style36" w:type="paragraph">
    <w:name w:val="Balloon Text"/>
    <w:basedOn w:val="style0"/>
    <w:next w:val="style36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</w:rPr>
  </w:style>
  <w:style w:styleId="style37" w:type="paragraph">
    <w:name w:val="Верхний колонтитул"/>
    <w:basedOn w:val="style0"/>
    <w:next w:val="style37"/>
    <w:pPr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  <w:style w:styleId="style38" w:type="paragraph">
    <w:name w:val="Нижний колонтитул"/>
    <w:basedOn w:val="style0"/>
    <w:next w:val="style38"/>
    <w:pPr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2019-11-13T10:29:00.00Z</dcterms:created>
  <dc:creator>директор</dc:creator>
  <cp:lastModifiedBy>Пользователь Windows</cp:lastModifiedBy>
  <dcterms:modified xsi:type="dcterms:W3CDTF">2020-10-28T13:19:00.00Z</dcterms:modified>
  <cp:revision>22</cp:revision>
</cp:coreProperties>
</file>