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suppressAutoHyphens w:val="true"/>
        <w:spacing w:after="0" w:before="0" w:line="100" w:lineRule="atLeast"/>
        <w:contextualSpacing w:val="false"/>
        <w:jc w:val="center"/>
      </w:pPr>
      <w:r>
        <w:rPr/>
      </w:r>
    </w:p>
    <w:p>
      <w:pPr>
        <w:pStyle w:val="style0"/>
        <w:suppressAutoHyphens w:val="true"/>
        <w:spacing w:after="0" w:before="0" w:line="100" w:lineRule="atLeast"/>
        <w:contextualSpacing w:val="false"/>
        <w:jc w:val="center"/>
      </w:pPr>
      <w:r>
        <w:rPr/>
        <w:drawing>
          <wp:anchor allowOverlap="1" behindDoc="0" distB="0" distL="0" distR="0" distT="0" layoutInCell="1" locked="0" relativeHeight="0" simplePos="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9251950" cy="6721475"/>
            <wp:effectExtent b="0" l="0" r="0" t="0"/>
            <wp:wrapSquare wrapText="largest"/>
            <wp:docPr descr="" id="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style0"/>
        <w:spacing w:after="172" w:before="0" w:line="100" w:lineRule="atLeast"/>
        <w:contextualSpacing w:val="false"/>
      </w:pPr>
      <w:r>
        <w:rPr/>
      </w:r>
    </w:p>
    <w:p>
      <w:pPr>
        <w:pStyle w:val="style0"/>
        <w:spacing w:after="172" w:before="0" w:line="100" w:lineRule="atLeast"/>
        <w:contextualSpacing w:val="false"/>
      </w:pPr>
      <w:r>
        <w:rPr/>
      </w:r>
    </w:p>
    <w:p>
      <w:pPr>
        <w:pStyle w:val="style0"/>
        <w:spacing w:line="276" w:lineRule="auto"/>
        <w:jc w:val="center"/>
      </w:pPr>
      <w:r>
        <w:rPr/>
      </w:r>
    </w:p>
    <w:p>
      <w:pPr>
        <w:pStyle w:val="style0"/>
        <w:spacing w:line="276" w:lineRule="auto"/>
        <w:jc w:val="center"/>
      </w:pPr>
      <w:r>
        <w:rPr/>
      </w:r>
    </w:p>
    <w:p>
      <w:pPr>
        <w:pStyle w:val="style0"/>
        <w:spacing w:line="276" w:lineRule="auto"/>
        <w:jc w:val="center"/>
      </w:pPr>
      <w:r>
        <w:rPr/>
      </w:r>
    </w:p>
    <w:p>
      <w:pPr>
        <w:pStyle w:val="style0"/>
        <w:spacing w:line="276" w:lineRule="auto"/>
        <w:jc w:val="center"/>
      </w:pPr>
      <w:r>
        <w:rPr/>
      </w:r>
    </w:p>
    <w:p>
      <w:pPr>
        <w:pStyle w:val="style0"/>
        <w:spacing w:line="276" w:lineRule="auto"/>
        <w:jc w:val="center"/>
      </w:pPr>
      <w:r>
        <w:rPr/>
      </w:r>
    </w:p>
    <w:p>
      <w:pPr>
        <w:pStyle w:val="style0"/>
        <w:spacing w:line="276" w:lineRule="auto"/>
        <w:jc w:val="center"/>
      </w:pPr>
      <w:r>
        <w:rPr/>
      </w:r>
    </w:p>
    <w:p>
      <w:pPr>
        <w:pStyle w:val="style0"/>
        <w:spacing w:line="276" w:lineRule="auto"/>
        <w:jc w:val="center"/>
      </w:pPr>
      <w:r>
        <w:rPr/>
      </w:r>
    </w:p>
    <w:p>
      <w:pPr>
        <w:pStyle w:val="style0"/>
        <w:spacing w:line="276" w:lineRule="auto"/>
        <w:jc w:val="center"/>
      </w:pPr>
      <w:r>
        <w:rPr/>
      </w:r>
    </w:p>
    <w:p>
      <w:pPr>
        <w:pStyle w:val="style0"/>
        <w:spacing w:line="276" w:lineRule="auto"/>
        <w:jc w:val="center"/>
      </w:pPr>
      <w:r>
        <w:rPr/>
      </w:r>
    </w:p>
    <w:p>
      <w:pPr>
        <w:pStyle w:val="style0"/>
        <w:spacing w:line="276" w:lineRule="auto"/>
        <w:jc w:val="center"/>
      </w:pPr>
      <w:r>
        <w:rPr/>
      </w:r>
    </w:p>
    <w:p>
      <w:pPr>
        <w:pStyle w:val="style0"/>
        <w:spacing w:line="276" w:lineRule="auto"/>
        <w:jc w:val="center"/>
      </w:pPr>
      <w:r>
        <w:rPr/>
      </w:r>
    </w:p>
    <w:p>
      <w:pPr>
        <w:pStyle w:val="style0"/>
        <w:spacing w:line="276" w:lineRule="auto"/>
        <w:jc w:val="center"/>
      </w:pPr>
      <w:r>
        <w:rPr/>
      </w:r>
    </w:p>
    <w:p>
      <w:pPr>
        <w:pStyle w:val="style0"/>
        <w:spacing w:line="276" w:lineRule="auto"/>
        <w:jc w:val="center"/>
      </w:pPr>
      <w:r>
        <w:rPr/>
      </w:r>
    </w:p>
    <w:p>
      <w:pPr>
        <w:pStyle w:val="style0"/>
        <w:spacing w:line="276" w:lineRule="auto"/>
        <w:jc w:val="center"/>
      </w:pPr>
      <w:r>
        <w:rPr/>
      </w:r>
    </w:p>
    <w:p>
      <w:pPr>
        <w:pStyle w:val="style0"/>
        <w:spacing w:line="276" w:lineRule="auto"/>
        <w:jc w:val="center"/>
      </w:pPr>
      <w:r>
        <w:rPr/>
      </w:r>
    </w:p>
    <w:p>
      <w:pPr>
        <w:pStyle w:val="style0"/>
        <w:spacing w:line="276" w:lineRule="auto"/>
        <w:jc w:val="center"/>
      </w:pPr>
      <w:r>
        <w:rPr/>
      </w:r>
    </w:p>
    <w:p>
      <w:pPr>
        <w:pStyle w:val="style0"/>
        <w:spacing w:line="276" w:lineRule="auto"/>
        <w:jc w:val="center"/>
      </w:pPr>
      <w:r>
        <w:rPr/>
      </w:r>
    </w:p>
    <w:p>
      <w:pPr>
        <w:pStyle w:val="style0"/>
        <w:spacing w:line="276" w:lineRule="auto"/>
        <w:jc w:val="center"/>
      </w:pPr>
      <w:r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ru-RU"/>
        </w:rPr>
        <w:t>Нормативная база и УМК</w:t>
      </w:r>
    </w:p>
    <w:p>
      <w:pPr>
        <w:pStyle w:val="style0"/>
        <w:spacing w:after="0" w:before="0" w:line="100" w:lineRule="atLeast"/>
        <w:ind w:firstLine="567" w:left="0" w:right="0"/>
        <w:contextualSpacing w:val="false"/>
        <w:jc w:val="both"/>
      </w:pPr>
      <w:r>
        <w:rPr>
          <w:rFonts w:ascii="Times New Roman" w:hAnsi="Times New Roman"/>
          <w:sz w:val="24"/>
          <w:szCs w:val="24"/>
        </w:rPr>
        <w:t>Рабочая программа составлена на основании следующих нормативно- правовых документов:</w:t>
      </w:r>
    </w:p>
    <w:p>
      <w:pPr>
        <w:pStyle w:val="style0"/>
        <w:numPr>
          <w:ilvl w:val="0"/>
          <w:numId w:val="1"/>
        </w:numPr>
        <w:tabs>
          <w:tab w:leader="none" w:pos="2295" w:val="left"/>
        </w:tabs>
        <w:suppressAutoHyphens w:val="false"/>
        <w:spacing w:after="0" w:before="0" w:line="100" w:lineRule="atLeast"/>
        <w:ind w:hanging="360" w:left="720" w:right="0"/>
        <w:contextualSpacing w:val="false"/>
        <w:jc w:val="both"/>
      </w:pPr>
      <w:r>
        <w:rPr>
          <w:rFonts w:ascii="Times New Roman" w:hAnsi="Times New Roman"/>
          <w:sz w:val="24"/>
          <w:szCs w:val="24"/>
        </w:rPr>
        <w:t>Федерального закона «Об образовании в Российской Федерации»  № 273- ФЗ  от 29   декабря 2012 года;</w:t>
      </w:r>
    </w:p>
    <w:p>
      <w:pPr>
        <w:pStyle w:val="style0"/>
        <w:numPr>
          <w:ilvl w:val="0"/>
          <w:numId w:val="1"/>
        </w:numPr>
        <w:tabs>
          <w:tab w:leader="none" w:pos="2130" w:val="left"/>
          <w:tab w:leader="none" w:pos="2734" w:val="left"/>
        </w:tabs>
        <w:suppressAutoHyphens w:val="false"/>
        <w:spacing w:after="0" w:before="0" w:line="100" w:lineRule="atLeast"/>
        <w:ind w:hanging="360" w:left="720" w:right="0"/>
        <w:contextualSpacing w:val="false"/>
        <w:jc w:val="both"/>
      </w:pPr>
      <w:r>
        <w:rPr>
          <w:rFonts w:ascii="Times New Roman" w:hAnsi="Times New Roman"/>
          <w:color w:val="000000"/>
          <w:sz w:val="24"/>
          <w:szCs w:val="24"/>
        </w:rPr>
        <w:t>Федерального государственного образовательного стандарта среднего общего образования (Приказ Минобрнауки России от 17.05.2012 № 413 (ред. от 31.12.2015 №1578) "Об утверждении федерального государственного образовательного стандарта среднего общего образования"(Зарегистрировано в Минюсте России 07.06.2012 № 24480)).</w:t>
      </w:r>
    </w:p>
    <w:p>
      <w:pPr>
        <w:pStyle w:val="style0"/>
        <w:numPr>
          <w:ilvl w:val="0"/>
          <w:numId w:val="1"/>
        </w:numPr>
        <w:tabs>
          <w:tab w:leader="none" w:pos="2727" w:val="left"/>
        </w:tabs>
        <w:suppressAutoHyphens w:val="false"/>
        <w:spacing w:after="0" w:before="0" w:line="100" w:lineRule="atLeast"/>
        <w:ind w:hanging="360" w:left="720" w:right="0"/>
        <w:contextualSpacing w:val="false"/>
        <w:jc w:val="both"/>
      </w:pPr>
      <w:r>
        <w:rPr>
          <w:rFonts w:ascii="Times New Roman" w:hAnsi="Times New Roman"/>
          <w:sz w:val="24"/>
          <w:szCs w:val="24"/>
        </w:rPr>
        <w:t xml:space="preserve">Федерального компонента государственного стандарта   среднего (полного) общего образования) по русскому языку,  утвержденного приказом Минобразования России от 5.03.2004г № 1089 </w:t>
      </w:r>
    </w:p>
    <w:p>
      <w:pPr>
        <w:pStyle w:val="style0"/>
        <w:numPr>
          <w:ilvl w:val="0"/>
          <w:numId w:val="1"/>
        </w:numPr>
        <w:tabs>
          <w:tab w:leader="none" w:pos="2727" w:val="left"/>
        </w:tabs>
        <w:suppressAutoHyphens w:val="false"/>
        <w:spacing w:after="0" w:before="0" w:line="100" w:lineRule="atLeast"/>
        <w:ind w:hanging="360" w:left="720" w:right="0"/>
        <w:contextualSpacing w:val="false"/>
        <w:jc w:val="both"/>
      </w:pPr>
      <w:r>
        <w:rPr>
          <w:rFonts w:ascii="Times New Roman" w:hAnsi="Times New Roman"/>
          <w:sz w:val="24"/>
          <w:szCs w:val="24"/>
        </w:rPr>
        <w:t>Федерального базисного учебного плана (Базисный   учебный   план, утвержденный приказом   Министерства образования РФ № 1312 от 09.03.2004)</w:t>
      </w:r>
    </w:p>
    <w:p>
      <w:pPr>
        <w:pStyle w:val="style0"/>
        <w:numPr>
          <w:ilvl w:val="0"/>
          <w:numId w:val="1"/>
        </w:numPr>
        <w:tabs>
          <w:tab w:leader="none" w:pos="2727" w:val="left"/>
        </w:tabs>
        <w:suppressAutoHyphens w:val="false"/>
        <w:spacing w:after="0" w:before="0" w:line="100" w:lineRule="atLeast"/>
        <w:ind w:hanging="360" w:left="720" w:right="0"/>
        <w:contextualSpacing w:val="false"/>
        <w:jc w:val="both"/>
      </w:pPr>
      <w:r>
        <w:rPr>
          <w:rFonts w:ascii="Times New Roman" w:hAnsi="Times New Roman"/>
          <w:sz w:val="24"/>
          <w:szCs w:val="24"/>
        </w:rPr>
        <w:t>Кодификаторов элементов содержания и требований к уровню подготовки выпускников образовательных организаций для проведения ЕГЭ по русскому языку</w:t>
      </w:r>
    </w:p>
    <w:p>
      <w:pPr>
        <w:pStyle w:val="style0"/>
        <w:numPr>
          <w:ilvl w:val="0"/>
          <w:numId w:val="1"/>
        </w:numPr>
        <w:tabs>
          <w:tab w:leader="none" w:pos="2727" w:val="left"/>
        </w:tabs>
        <w:suppressAutoHyphens w:val="false"/>
        <w:spacing w:after="0" w:before="0" w:line="100" w:lineRule="atLeast"/>
        <w:ind w:hanging="360" w:left="720" w:right="0"/>
        <w:contextualSpacing w:val="false"/>
        <w:jc w:val="both"/>
      </w:pPr>
      <w:r>
        <w:rPr>
          <w:rFonts w:ascii="Times New Roman" w:hAnsi="Times New Roman"/>
          <w:sz w:val="24"/>
          <w:szCs w:val="24"/>
        </w:rPr>
        <w:t xml:space="preserve">Спецификации контрольно-измерительных материалов для проведения в </w:t>
      </w:r>
      <w:r>
        <w:rPr>
          <w:rFonts w:ascii="Times New Roman" w:hAnsi="Times New Roman"/>
          <w:sz w:val="24"/>
          <w:szCs w:val="24"/>
        </w:rPr>
        <w:t xml:space="preserve">2022 году </w:t>
      </w:r>
      <w:r>
        <w:rPr>
          <w:rFonts w:ascii="Times New Roman" w:hAnsi="Times New Roman"/>
          <w:sz w:val="24"/>
          <w:szCs w:val="24"/>
        </w:rPr>
        <w:t xml:space="preserve"> единого государственного экзамена по русскому языку</w:t>
      </w:r>
    </w:p>
    <w:p>
      <w:pPr>
        <w:pStyle w:val="style0"/>
        <w:numPr>
          <w:ilvl w:val="0"/>
          <w:numId w:val="1"/>
        </w:numPr>
        <w:tabs>
          <w:tab w:leader="none" w:pos="2727" w:val="left"/>
        </w:tabs>
        <w:suppressAutoHyphens w:val="false"/>
        <w:spacing w:after="0" w:before="0" w:line="100" w:lineRule="atLeast"/>
        <w:ind w:hanging="360" w:left="720" w:right="0"/>
        <w:contextualSpacing w:val="false"/>
        <w:jc w:val="both"/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Демонстрационного варианта 202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-202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года</w:t>
      </w:r>
    </w:p>
    <w:p>
      <w:pPr>
        <w:pStyle w:val="style0"/>
        <w:numPr>
          <w:ilvl w:val="0"/>
          <w:numId w:val="1"/>
        </w:numPr>
        <w:tabs>
          <w:tab w:leader="none" w:pos="2727" w:val="left"/>
        </w:tabs>
        <w:suppressAutoHyphens w:val="false"/>
        <w:spacing w:after="0" w:before="0" w:line="100" w:lineRule="atLeast"/>
        <w:ind w:hanging="360" w:left="720" w:right="0"/>
        <w:contextualSpacing w:val="false"/>
        <w:jc w:val="both"/>
      </w:pPr>
      <w:r>
        <w:rPr>
          <w:rFonts w:ascii="Times New Roman" w:hAnsi="Times New Roman"/>
          <w:b w:val="false"/>
          <w:bCs w:val="false"/>
          <w:sz w:val="24"/>
          <w:szCs w:val="24"/>
          <w:lang w:eastAsia="ru-RU"/>
        </w:rPr>
        <w:t>Учебного плана Муниципального автономного общего учреждения  Бегишевской средней общеобразовательной школы Вагайского района Тюменской области на текущий учебный год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/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/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/>
      </w:r>
    </w:p>
    <w:p>
      <w:pPr>
        <w:pStyle w:val="style0"/>
        <w:spacing w:after="0" w:before="0" w:line="200" w:lineRule="atLeast"/>
        <w:contextualSpacing w:val="false"/>
        <w:jc w:val="both"/>
      </w:pPr>
      <w:r>
        <w:rPr>
          <w:rFonts w:ascii="Times New Roman" w:hAnsi="Times New Roman"/>
          <w:b/>
          <w:sz w:val="24"/>
          <w:szCs w:val="24"/>
          <w:lang w:eastAsia="ru-RU"/>
        </w:rPr>
        <w:t>Элективный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 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  <w:lang w:eastAsia="ru-RU"/>
        </w:rPr>
        <w:t>курс по русскому языку 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ru-RU"/>
        </w:rPr>
        <w:t>предназначен для учащихся 11 класса.</w:t>
      </w:r>
    </w:p>
    <w:p>
      <w:pPr>
        <w:pStyle w:val="style0"/>
        <w:shd w:fill="FFFFFF" w:val="clear"/>
        <w:spacing w:after="135" w:before="0" w:line="200" w:lineRule="atLeast"/>
        <w:contextualSpacing w:val="false"/>
        <w:jc w:val="both"/>
      </w:pPr>
      <w:r>
        <w:rPr>
          <w:rFonts w:ascii="Times New Roman" w:hAnsi="Times New Roman"/>
          <w:sz w:val="24"/>
          <w:szCs w:val="24"/>
        </w:rPr>
        <w:t xml:space="preserve">Элективный курс  по русскому языку  используется в качестве обобщающего учебного курса по русскому языку для учащихся 11 класса  при подготовке к единому государственному экзамену, учитывает специфику КИМов и носит итоговый характер. Данный курс обобщает, закрепляет важнейшие умения, которые должны быть сформированы у выпускников средней школы.  Содержание курса опирается на знания, умения и навыки учащихся старших классов, сформированные в основной школе. Содержание программы предполагает расширение и углубление теоретического материала, формирование практических навыков выполнения тестовых заданий ЕГЭ. </w:t>
      </w:r>
      <w:r>
        <w:rPr>
          <w:rFonts w:ascii="Times New Roman" w:hAnsi="Times New Roman"/>
          <w:color w:val="000000"/>
          <w:sz w:val="24"/>
          <w:szCs w:val="24"/>
        </w:rPr>
        <w:t>Курс способствует психологической адаптации учащихся на экзамене. Позволяет выпускникам легко ориентироваться в тестовой работе, подготавливает ребят к написанию сочинения-рассуждения, знакомит с правильным оформлением бланков на экзамене.</w:t>
      </w:r>
      <w:r>
        <w:rPr>
          <w:rFonts w:ascii="Times New Roman" w:hAnsi="Times New Roman"/>
          <w:sz w:val="24"/>
          <w:szCs w:val="24"/>
        </w:rPr>
        <w:t xml:space="preserve"> Вместе с тем, курс даёт выпускникам средней школы целостное представление о богатстве русского языка, помогает использовать в повседневной практике нормативную устную и письменную речь.</w:t>
      </w:r>
    </w:p>
    <w:p>
      <w:pPr>
        <w:pStyle w:val="style0"/>
        <w:shd w:fill="FFFFFF" w:val="clear"/>
        <w:autoSpaceDE w:val="false"/>
        <w:spacing w:line="200" w:lineRule="atLeast"/>
        <w:jc w:val="center"/>
      </w:pPr>
      <w:r>
        <w:rPr>
          <w:rFonts w:ascii="Times New Roman" w:hAnsi="Times New Roman"/>
          <w:b/>
          <w:sz w:val="24"/>
          <w:szCs w:val="24"/>
        </w:rPr>
        <w:t>Цели и задачи элективного курса</w:t>
      </w:r>
    </w:p>
    <w:p>
      <w:pPr>
        <w:pStyle w:val="style0"/>
        <w:spacing w:line="200" w:lineRule="atLeast"/>
        <w:jc w:val="both"/>
      </w:pPr>
      <w:r>
        <w:rPr>
          <w:rFonts w:ascii="Times New Roman" w:hAnsi="Times New Roman"/>
          <w:color w:val="000000"/>
          <w:sz w:val="24"/>
          <w:szCs w:val="24"/>
        </w:rPr>
        <w:t xml:space="preserve">Главная </w:t>
      </w:r>
      <w:r>
        <w:rPr>
          <w:rFonts w:ascii="Times New Roman" w:hAnsi="Times New Roman"/>
          <w:b/>
          <w:color w:val="000000"/>
          <w:sz w:val="24"/>
          <w:szCs w:val="24"/>
        </w:rPr>
        <w:t>цель</w:t>
      </w:r>
      <w:r>
        <w:rPr>
          <w:rFonts w:ascii="Times New Roman" w:hAnsi="Times New Roman"/>
          <w:color w:val="000000"/>
          <w:sz w:val="24"/>
          <w:szCs w:val="24"/>
        </w:rPr>
        <w:t xml:space="preserve"> курса – обеспечить поддержку освоения содержания учебного предмета «Русский язык» всеми выпускниками средней школы, сформировать умения и навыки выполнения тестовых и коммуникативных заданий на уровне, позволяющем и учителю, и (что самое важное) выпускникам прогнозировать положительные результаты выполнения экзаменационной работы с учетом способностей и языковой подготовки обучающихся.</w:t>
      </w:r>
    </w:p>
    <w:p>
      <w:pPr>
        <w:pStyle w:val="style0"/>
        <w:shd w:fill="FFFFFF" w:val="clear"/>
        <w:spacing w:after="135" w:before="0" w:line="200" w:lineRule="atLeast"/>
        <w:contextualSpacing w:val="false"/>
        <w:jc w:val="both"/>
      </w:pPr>
      <w:r>
        <w:rPr>
          <w:rFonts w:ascii="Times New Roman" w:hAnsi="Times New Roman"/>
          <w:sz w:val="24"/>
          <w:szCs w:val="24"/>
        </w:rPr>
      </w:r>
    </w:p>
    <w:p>
      <w:pPr>
        <w:pStyle w:val="style0"/>
        <w:shd w:fill="FFFFFF" w:val="clear"/>
        <w:spacing w:after="135" w:before="0" w:line="200" w:lineRule="atLeast"/>
        <w:contextualSpacing w:val="false"/>
        <w:jc w:val="both"/>
      </w:pPr>
      <w:r>
        <w:rPr>
          <w:rFonts w:ascii="Times New Roman" w:hAnsi="Times New Roman"/>
          <w:sz w:val="24"/>
          <w:szCs w:val="24"/>
        </w:rPr>
        <w:t>Цели курса - совершенствование приобретенных учащимися знаний, формирование языковой, коммуникативной, лингвистической компетенции, развитие навыков логического мышления, расширение кругозора школьников, воспитание самостоятельности в работе,</w:t>
      </w:r>
      <w:r>
        <w:rPr>
          <w:rFonts w:ascii="Times New Roman" w:hAnsi="Times New Roman"/>
          <w:b/>
          <w:bCs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подготовка старшеклассников к выполнению заданий экзаменационной работы на более высоком качественном уровне, формирование устойчивых практических навыков выполнения тестовых и коммуникативных задач на ЕГЭ, а также использование в повседневной практике нормативной устной и письменной речи.</w:t>
      </w:r>
    </w:p>
    <w:p>
      <w:pPr>
        <w:pStyle w:val="style0"/>
        <w:shd w:fill="FFFFFF" w:val="clear"/>
        <w:spacing w:after="135" w:before="0" w:line="200" w:lineRule="atLeast"/>
        <w:contextualSpacing w:val="false"/>
        <w:jc w:val="both"/>
      </w:pP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b/>
          <w:bCs/>
          <w:sz w:val="24"/>
          <w:szCs w:val="24"/>
        </w:rPr>
        <w:t>адачи курса:</w:t>
      </w:r>
    </w:p>
    <w:p>
      <w:pPr>
        <w:pStyle w:val="style0"/>
        <w:numPr>
          <w:ilvl w:val="0"/>
          <w:numId w:val="4"/>
        </w:numPr>
        <w:shd w:fill="FFFFFF" w:val="clear"/>
        <w:spacing w:after="0" w:before="0" w:line="200" w:lineRule="atLeast"/>
        <w:contextualSpacing w:val="false"/>
        <w:jc w:val="both"/>
      </w:pPr>
      <w:r>
        <w:rPr>
          <w:rFonts w:ascii="Times New Roman" w:hAnsi="Times New Roman"/>
          <w:sz w:val="24"/>
          <w:szCs w:val="24"/>
        </w:rPr>
        <w:t>изучение нормативных и методических документов по организации и проведению ЕГЭ по русскому языку;</w:t>
      </w:r>
    </w:p>
    <w:p>
      <w:pPr>
        <w:pStyle w:val="style0"/>
        <w:numPr>
          <w:ilvl w:val="0"/>
          <w:numId w:val="4"/>
        </w:numPr>
        <w:shd w:fill="FFFFFF" w:val="clear"/>
        <w:spacing w:after="0" w:before="0" w:line="200" w:lineRule="atLeast"/>
        <w:contextualSpacing w:val="false"/>
        <w:jc w:val="both"/>
      </w:pPr>
      <w:r>
        <w:rPr>
          <w:rFonts w:ascii="Times New Roman" w:hAnsi="Times New Roman"/>
          <w:sz w:val="24"/>
          <w:szCs w:val="24"/>
        </w:rPr>
        <w:t>овладение основными нормами литературного языка;</w:t>
      </w:r>
    </w:p>
    <w:p>
      <w:pPr>
        <w:pStyle w:val="style0"/>
        <w:numPr>
          <w:ilvl w:val="0"/>
          <w:numId w:val="4"/>
        </w:numPr>
        <w:shd w:fill="FFFFFF" w:val="clear"/>
        <w:spacing w:after="0" w:before="0" w:line="200" w:lineRule="atLeast"/>
        <w:contextualSpacing w:val="false"/>
        <w:jc w:val="both"/>
      </w:pPr>
      <w:r>
        <w:rPr>
          <w:rFonts w:ascii="Times New Roman" w:hAnsi="Times New Roman"/>
          <w:sz w:val="24"/>
          <w:szCs w:val="24"/>
        </w:rPr>
        <w:t>создание прочной базы языковой грамотности учащихся, формирование умения выполнять все виды языкового анализа;</w:t>
      </w:r>
    </w:p>
    <w:p>
      <w:pPr>
        <w:pStyle w:val="style0"/>
        <w:numPr>
          <w:ilvl w:val="0"/>
          <w:numId w:val="4"/>
        </w:numPr>
        <w:shd w:fill="FFFFFF" w:val="clear"/>
        <w:spacing w:after="0" w:before="0" w:line="200" w:lineRule="atLeast"/>
        <w:contextualSpacing w:val="false"/>
        <w:jc w:val="both"/>
      </w:pPr>
      <w:r>
        <w:rPr>
          <w:rFonts w:ascii="Times New Roman" w:hAnsi="Times New Roman"/>
          <w:sz w:val="24"/>
          <w:szCs w:val="24"/>
        </w:rPr>
        <w:t>дифференциация освоения алгоритмов выполнения тестовых и коммуникативных задач учащимися с разным уровнем языковой подготовки;</w:t>
      </w:r>
    </w:p>
    <w:p>
      <w:pPr>
        <w:pStyle w:val="style0"/>
        <w:numPr>
          <w:ilvl w:val="0"/>
          <w:numId w:val="4"/>
        </w:numPr>
        <w:shd w:fill="FFFFFF" w:val="clear"/>
        <w:spacing w:after="0" w:before="0" w:line="200" w:lineRule="atLeast"/>
        <w:contextualSpacing w:val="false"/>
        <w:jc w:val="both"/>
      </w:pPr>
      <w:r>
        <w:rPr>
          <w:rFonts w:ascii="Times New Roman" w:hAnsi="Times New Roman"/>
          <w:sz w:val="24"/>
          <w:szCs w:val="24"/>
        </w:rPr>
        <w:t>обучение старшеклассников осознанному выбору правильных ответов тестовых заданий;</w:t>
      </w:r>
    </w:p>
    <w:p>
      <w:pPr>
        <w:pStyle w:val="style0"/>
        <w:numPr>
          <w:ilvl w:val="0"/>
          <w:numId w:val="4"/>
        </w:numPr>
        <w:shd w:fill="FFFFFF" w:val="clear"/>
        <w:spacing w:after="0" w:before="0" w:line="200" w:lineRule="atLeast"/>
        <w:contextualSpacing w:val="false"/>
        <w:jc w:val="both"/>
      </w:pPr>
      <w:r>
        <w:rPr>
          <w:rFonts w:ascii="Times New Roman" w:hAnsi="Times New Roman"/>
          <w:sz w:val="24"/>
          <w:szCs w:val="24"/>
        </w:rPr>
        <w:t>освоение стилистического многообразия и практического использования художественно-выразительных средств русского языка;</w:t>
      </w:r>
    </w:p>
    <w:p>
      <w:pPr>
        <w:pStyle w:val="style0"/>
        <w:numPr>
          <w:ilvl w:val="0"/>
          <w:numId w:val="4"/>
        </w:numPr>
        <w:shd w:fill="FFFFFF" w:val="clear"/>
        <w:spacing w:after="0" w:before="0" w:line="200" w:lineRule="atLeast"/>
        <w:contextualSpacing w:val="false"/>
        <w:jc w:val="both"/>
      </w:pPr>
      <w:r>
        <w:rPr>
          <w:rFonts w:ascii="Times New Roman" w:hAnsi="Times New Roman"/>
          <w:sz w:val="24"/>
          <w:szCs w:val="24"/>
        </w:rPr>
        <w:t>обучение анализу текста, его интерпретации;</w:t>
      </w:r>
    </w:p>
    <w:p>
      <w:pPr>
        <w:pStyle w:val="style0"/>
        <w:numPr>
          <w:ilvl w:val="0"/>
          <w:numId w:val="4"/>
        </w:numPr>
        <w:shd w:fill="FFFFFF" w:val="clear"/>
        <w:spacing w:after="0" w:before="0" w:line="200" w:lineRule="atLeast"/>
        <w:contextualSpacing w:val="false"/>
        <w:jc w:val="both"/>
      </w:pPr>
      <w:r>
        <w:rPr>
          <w:rFonts w:ascii="Times New Roman" w:hAnsi="Times New Roman"/>
          <w:sz w:val="24"/>
          <w:szCs w:val="24"/>
        </w:rPr>
        <w:t>совершенствование лингвистической компетенции выпускников при выполнении экзаменационной работы;</w:t>
      </w:r>
    </w:p>
    <w:p>
      <w:pPr>
        <w:pStyle w:val="style0"/>
        <w:numPr>
          <w:ilvl w:val="0"/>
          <w:numId w:val="4"/>
        </w:numPr>
        <w:shd w:fill="FFFFFF" w:val="clear"/>
        <w:spacing w:after="280" w:before="0" w:line="200" w:lineRule="atLeast"/>
        <w:contextualSpacing w:val="false"/>
        <w:jc w:val="both"/>
      </w:pPr>
      <w:r>
        <w:rPr>
          <w:rFonts w:ascii="Times New Roman" w:hAnsi="Times New Roman"/>
          <w:sz w:val="24"/>
          <w:szCs w:val="24"/>
          <w:lang w:eastAsia="ru-RU"/>
        </w:rPr>
        <w:t>развитие речевой культуры.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Программа рассчитана на 1 год обучения: 11 класс – 34 часа (1 час в неделю).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Формы изучения курса: </w:t>
      </w:r>
      <w:r>
        <w:rPr>
          <w:rFonts w:ascii="Times New Roman" w:hAnsi="Times New Roman"/>
          <w:sz w:val="24"/>
          <w:szCs w:val="24"/>
          <w:lang w:eastAsia="ru-RU"/>
        </w:rPr>
        <w:t>групповая и индивидуальная; работа с нормативными документами, с учебными пособиями по подготовке к ЕГЭ, с тестами и текстами, тренинг, практикум, ответы на поставленные вопросы как результат самостоятельного осмысления и решения лингвистических и коммуникативных задач, решение тестов по типу ЕГЭ на заданное время, мини-исследования содержания и языковых средств конкретных текстов, написание сочинений в соответствии с требованиями ЕГЭ, анализ образцов ученических сочинений,  тренировочно-диагностические работы, репетиционный ЕГЭ, использование различных каналов поиска информации.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hAnsi="Times New Roman"/>
          <w:b/>
          <w:bCs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Сайты и программы для подготовки к ЕГЭ 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1) Программа подготовки к ЕГЭ по русскому языку. Все уроки в формате flash. Также программа содержит конспекты к ЕГЭ и генератор тестов ЕГЭ.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2) Мультимедийная программа для подготовки.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3) Программа тестов ЕГЭ по русскому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4) Шпаргалки по русскому языку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5) Программа с правилами по русскому языку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6) Сайт "Правила русского языка"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7) Весь школьный курс по русскому языку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8) Подборка книг по русскому к экзамену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9) ЕГЭ без ошибок. Вся теория к ЕГЭ по русскому языку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10) Теория в таблицах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11) Теория по каждому заданию в ЕГЭ по русскому языку</w:t>
      </w:r>
    </w:p>
    <w:p>
      <w:pPr>
        <w:pStyle w:val="style0"/>
        <w:spacing w:after="0" w:before="0" w:line="100" w:lineRule="atLeast"/>
        <w:contextualSpacing w:val="false"/>
        <w:jc w:val="both"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12) Тренажёр по русскому языку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Перечень учебно-методического обеспечения</w:t>
      </w:r>
    </w:p>
    <w:p>
      <w:pPr>
        <w:pStyle w:val="style0"/>
        <w:numPr>
          <w:ilvl w:val="0"/>
          <w:numId w:val="3"/>
        </w:numPr>
        <w:spacing w:after="28" w:before="28" w:line="344" w:lineRule="atLeast"/>
        <w:contextualSpacing w:val="false"/>
      </w:pPr>
      <w:r>
        <w:rPr>
          <w:rFonts w:ascii="Times New Roman" w:hAnsi="Times New Roman"/>
          <w:sz w:val="24"/>
          <w:szCs w:val="24"/>
          <w:lang w:eastAsia="ru-RU"/>
        </w:rPr>
        <w:t>Гольцова Н.Г., Шамшин И.В. Русский язык. 10-11 классы: Учебник для общеобразовательных учреждений. – М.: ООО «ТИД «Русское слово– РС», 2010.</w:t>
      </w:r>
    </w:p>
    <w:p>
      <w:pPr>
        <w:pStyle w:val="style0"/>
        <w:numPr>
          <w:ilvl w:val="0"/>
          <w:numId w:val="3"/>
        </w:numPr>
        <w:spacing w:after="28" w:before="28" w:line="344" w:lineRule="atLeast"/>
        <w:contextualSpacing w:val="false"/>
      </w:pPr>
      <w:r>
        <w:rPr>
          <w:rFonts w:ascii="Times New Roman" w:hAnsi="Times New Roman"/>
          <w:sz w:val="24"/>
          <w:szCs w:val="24"/>
          <w:lang w:eastAsia="ru-RU"/>
        </w:rPr>
        <w:t>Гольцова Н.Г., Мищерина М.А. Русский язык. 10-11 классы: Книга для учителя. – М.: ООО «ТИД «Русское слово – РС», 2008.</w:t>
      </w:r>
    </w:p>
    <w:p>
      <w:pPr>
        <w:pStyle w:val="style0"/>
        <w:numPr>
          <w:ilvl w:val="0"/>
          <w:numId w:val="3"/>
        </w:numPr>
        <w:spacing w:after="28" w:before="28" w:line="344" w:lineRule="atLeast"/>
        <w:contextualSpacing w:val="false"/>
      </w:pPr>
      <w:r>
        <w:rPr>
          <w:rFonts w:ascii="Times New Roman" w:hAnsi="Times New Roman"/>
          <w:sz w:val="24"/>
          <w:szCs w:val="24"/>
          <w:lang w:eastAsia="ru-RU"/>
        </w:rPr>
        <w:t>Егораева Г.Т., Русский язык. Практикум по выполнению типовых тестовых заданий ЕГЭ. – М.: Издательство «Экзамен»</w:t>
      </w:r>
    </w:p>
    <w:p>
      <w:pPr>
        <w:pStyle w:val="style0"/>
        <w:shd w:fill="FFFFFF" w:val="clear"/>
        <w:tabs>
          <w:tab w:leader="none" w:pos="621" w:val="left"/>
          <w:tab w:leader="none" w:pos="726" w:val="left"/>
          <w:tab w:leader="none" w:pos="921" w:val="left"/>
          <w:tab w:leader="none" w:pos="936" w:val="left"/>
        </w:tabs>
        <w:suppressAutoHyphens w:val="false"/>
        <w:spacing w:after="28" w:before="28" w:line="344" w:lineRule="atLeast"/>
        <w:ind w:hanging="0" w:left="177" w:right="0"/>
        <w:contextualSpacing w:val="false"/>
        <w:jc w:val="both"/>
      </w:pPr>
      <w:r>
        <w:rPr/>
      </w:r>
    </w:p>
    <w:p>
      <w:pPr>
        <w:pStyle w:val="style0"/>
        <w:shd w:fill="FFFFFF" w:val="clear"/>
        <w:tabs>
          <w:tab w:leader="none" w:pos="825" w:val="left"/>
        </w:tabs>
        <w:suppressAutoHyphens w:val="false"/>
        <w:spacing w:after="0" w:before="0" w:line="100" w:lineRule="atLeast"/>
        <w:ind w:hanging="0" w:left="0" w:right="0"/>
        <w:contextualSpacing w:val="false"/>
        <w:jc w:val="both"/>
      </w:pPr>
      <w:r>
        <w:rPr>
          <w:rFonts w:ascii="Times New Roman" w:hAnsi="Times New Roman"/>
          <w:color w:val="000000"/>
          <w:sz w:val="24"/>
          <w:szCs w:val="24"/>
        </w:rPr>
        <w:t>Тематические тесты для подготовки к ЕГЭ по русскому языку.  А.Г.Нарушевич    Библиотечка «Первого сентября»</w:t>
      </w:r>
    </w:p>
    <w:p>
      <w:pPr>
        <w:pStyle w:val="style0"/>
        <w:shd w:fill="FFFFFF" w:val="clear"/>
        <w:tabs>
          <w:tab w:leader="none" w:pos="525" w:val="left"/>
        </w:tabs>
        <w:suppressAutoHyphens w:val="false"/>
        <w:spacing w:after="0" w:before="0" w:line="100" w:lineRule="atLeast"/>
        <w:ind w:hanging="0" w:left="0" w:right="0"/>
        <w:contextualSpacing w:val="false"/>
        <w:jc w:val="both"/>
      </w:pPr>
      <w:r>
        <w:rPr>
          <w:rFonts w:ascii="Times New Roman" w:hAnsi="Times New Roman"/>
          <w:color w:val="000000"/>
          <w:sz w:val="24"/>
          <w:szCs w:val="24"/>
        </w:rPr>
        <w:t>Открытый банк заданий ЕГЭ на ФИПИ.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/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Технические средства обучения и оборудование кабинета</w:t>
      </w:r>
    </w:p>
    <w:p>
      <w:pPr>
        <w:pStyle w:val="style0"/>
        <w:numPr>
          <w:ilvl w:val="0"/>
          <w:numId w:val="2"/>
        </w:numPr>
        <w:shd w:fill="FFFFFF" w:val="clear"/>
        <w:suppressAutoHyphens w:val="false"/>
        <w:spacing w:after="0" w:before="0" w:line="100" w:lineRule="atLeast"/>
        <w:contextualSpacing w:val="false"/>
        <w:jc w:val="both"/>
      </w:pPr>
      <w:r>
        <w:rPr>
          <w:rFonts w:ascii="Times New Roman" w:hAnsi="Times New Roman"/>
          <w:color w:val="000000"/>
          <w:sz w:val="24"/>
          <w:szCs w:val="24"/>
        </w:rPr>
        <w:t>Компьютер</w:t>
      </w:r>
    </w:p>
    <w:p>
      <w:pPr>
        <w:pStyle w:val="style0"/>
        <w:numPr>
          <w:ilvl w:val="0"/>
          <w:numId w:val="2"/>
        </w:numPr>
        <w:shd w:fill="FFFFFF" w:val="clear"/>
        <w:suppressAutoHyphens w:val="false"/>
        <w:spacing w:after="0" w:before="0" w:line="100" w:lineRule="atLeast"/>
        <w:contextualSpacing w:val="false"/>
        <w:jc w:val="both"/>
      </w:pPr>
      <w:r>
        <w:rPr>
          <w:rFonts w:ascii="Times New Roman" w:hAnsi="Times New Roman"/>
          <w:color w:val="000000"/>
          <w:sz w:val="24"/>
          <w:szCs w:val="24"/>
        </w:rPr>
        <w:t>Мультимедийный проектор</w:t>
      </w:r>
    </w:p>
    <w:p>
      <w:pPr>
        <w:pStyle w:val="style0"/>
        <w:numPr>
          <w:ilvl w:val="0"/>
          <w:numId w:val="2"/>
        </w:numPr>
        <w:shd w:fill="FFFFFF" w:val="clear"/>
        <w:suppressAutoHyphens w:val="false"/>
        <w:spacing w:after="0" w:before="0" w:line="100" w:lineRule="atLeast"/>
        <w:contextualSpacing w:val="false"/>
        <w:jc w:val="both"/>
      </w:pPr>
      <w:r>
        <w:rPr>
          <w:rFonts w:ascii="Times New Roman" w:hAnsi="Times New Roman"/>
          <w:color w:val="000000"/>
          <w:sz w:val="24"/>
          <w:szCs w:val="24"/>
        </w:rPr>
        <w:t>Классная доска с набором приспособлений для таблиц, плакатов и т.п.</w:t>
      </w:r>
    </w:p>
    <w:p>
      <w:pPr>
        <w:pStyle w:val="style0"/>
        <w:numPr>
          <w:ilvl w:val="0"/>
          <w:numId w:val="2"/>
        </w:numPr>
        <w:shd w:fill="FFFFFF" w:val="clear"/>
        <w:suppressAutoHyphens w:val="false"/>
        <w:spacing w:after="0" w:before="0" w:line="100" w:lineRule="atLeast"/>
        <w:contextualSpacing w:val="false"/>
        <w:jc w:val="both"/>
      </w:pPr>
      <w:r>
        <w:rPr>
          <w:rFonts w:ascii="Times New Roman" w:hAnsi="Times New Roman"/>
          <w:color w:val="000000"/>
          <w:sz w:val="24"/>
          <w:szCs w:val="24"/>
        </w:rPr>
        <w:t>Стенд для размещения творческих работ обучающихся</w:t>
      </w:r>
    </w:p>
    <w:p>
      <w:pPr>
        <w:pStyle w:val="style0"/>
        <w:shd w:fill="FFFFFF" w:val="clear"/>
        <w:spacing w:after="0" w:before="0" w:line="100" w:lineRule="atLeast"/>
        <w:contextualSpacing w:val="false"/>
        <w:jc w:val="both"/>
      </w:pPr>
      <w:r>
        <w:rPr/>
      </w:r>
    </w:p>
    <w:sectPr>
      <w:type w:val="nextPage"/>
      <w:pgSz w:h="11906" w:orient="landscape" w:w="16838"/>
      <w:pgMar w:bottom="850" w:footer="0" w:gutter="0" w:header="0" w:left="1134" w:right="1134" w:top="900"/>
      <w:pgNumType w:fmt="decimal"/>
      <w:formProt w:val="false"/>
      <w:textDirection w:val="lrTb"/>
      <w:docGrid w:charSpace="16384" w:linePitch="36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Courier New">
    <w:charset w:val="cc"/>
    <w:family w:val="modern"/>
    <w:pitch w:val="default"/>
  </w:font>
  <w:font w:name="Wingdings">
    <w:charset w:val="02"/>
    <w:family w:val="auto"/>
    <w:pitch w:val="variable"/>
  </w:font>
  <w:font w:name="Arial">
    <w:charset w:val="cc"/>
    <w:family w:val="swiss"/>
    <w:pitch w:val="variable"/>
  </w:font>
  <w:font w:name="Times New Roman">
    <w:charset w:val="80"/>
    <w:family w:val="roman"/>
    <w:pitch w:val="variable"/>
  </w:font>
  <w:font w:name="Courier New">
    <w:charset w:val="80"/>
    <w:family w:val="modern"/>
    <w:pitch w:val="fixed"/>
  </w:font>
  <w:font w:name="Courier New">
    <w:charset w:val="cc"/>
    <w:family w:val="modern"/>
    <w:pitch w:val="fixed"/>
  </w:font>
</w:fonts>
</file>

<file path=word/numbering.xml><?xml version="1.0" encoding="utf-8"?>
<w:numbering xmlns:w="http://schemas.openxmlformats.org/wordprocessingml/2006/main">
  <w:abstractNum w:abstractNumId="1">
    <w:lvl w:ilvl="0">
      <w:start w:val="1"/>
      <w:numFmt w:val="bullet"/>
      <w:lvlText w:val=""/>
      <w:lvlJc w:val="left"/>
      <w:pPr>
        <w:tabs>
          <w:tab w:pos="720" w:val="num"/>
        </w:tabs>
        <w:ind w:hanging="360" w:left="720"/>
      </w:pPr>
      <w:rPr>
        <w:rFonts w:ascii="Symbol" w:cs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pos="1440" w:val="num"/>
        </w:tabs>
        <w:ind w:hanging="360" w:left="1440"/>
      </w:pPr>
      <w:rPr>
        <w:rFonts w:ascii="Courier New" w:cs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pos="2160" w:val="num"/>
        </w:tabs>
        <w:ind w:hanging="360" w:left="2160"/>
      </w:pPr>
      <w:rPr>
        <w:rFonts w:ascii="Wingdings" w:cs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pos="2880" w:val="num"/>
        </w:tabs>
        <w:ind w:hanging="360" w:left="2880"/>
      </w:pPr>
      <w:rPr>
        <w:rFonts w:ascii="Wingdings" w:cs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pos="3600" w:val="num"/>
        </w:tabs>
        <w:ind w:hanging="360" w:left="3600"/>
      </w:pPr>
      <w:rPr>
        <w:rFonts w:ascii="Wingdings" w:cs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pos="4320" w:val="num"/>
        </w:tabs>
        <w:ind w:hanging="360" w:left="4320"/>
      </w:pPr>
      <w:rPr>
        <w:rFonts w:ascii="Wingdings" w:cs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pos="5040" w:val="num"/>
        </w:tabs>
        <w:ind w:hanging="360" w:left="5040"/>
      </w:pPr>
      <w:rPr>
        <w:rFonts w:ascii="Wingdings" w:cs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pos="5760" w:val="num"/>
        </w:tabs>
        <w:ind w:hanging="360" w:left="5760"/>
      </w:pPr>
      <w:rPr>
        <w:rFonts w:ascii="Wingdings" w:cs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pos="6480" w:val="num"/>
        </w:tabs>
        <w:ind w:hanging="360" w:left="6480"/>
      </w:pPr>
      <w:rPr>
        <w:rFonts w:ascii="Wingdings" w:cs="Wingdings" w:hAnsi="Wingdings" w:hint="default"/>
        <w:sz w:val="20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pos="720" w:val="num"/>
        </w:tabs>
        <w:ind w:hanging="360" w:left="720"/>
      </w:pPr>
    </w:lvl>
    <w:lvl w:ilvl="1">
      <w:start w:val="1"/>
      <w:numFmt w:val="decimal"/>
      <w:lvlText w:val="%2."/>
      <w:lvlJc w:val="left"/>
      <w:pPr>
        <w:tabs>
          <w:tab w:pos="1440" w:val="num"/>
        </w:tabs>
        <w:ind w:hanging="360" w:left="1440"/>
      </w:pPr>
    </w:lvl>
    <w:lvl w:ilvl="2">
      <w:start w:val="1"/>
      <w:numFmt w:val="decimal"/>
      <w:lvlText w:val="%3."/>
      <w:lvlJc w:val="left"/>
      <w:pPr>
        <w:tabs>
          <w:tab w:pos="2160" w:val="num"/>
        </w:tabs>
        <w:ind w:hanging="360" w:left="2160"/>
      </w:pPr>
    </w:lvl>
    <w:lvl w:ilvl="3">
      <w:start w:val="1"/>
      <w:numFmt w:val="decimal"/>
      <w:lvlText w:val="%4."/>
      <w:lvlJc w:val="left"/>
      <w:pPr>
        <w:tabs>
          <w:tab w:pos="2880" w:val="num"/>
        </w:tabs>
        <w:ind w:hanging="360" w:left="2880"/>
      </w:pPr>
    </w:lvl>
    <w:lvl w:ilvl="4">
      <w:start w:val="1"/>
      <w:numFmt w:val="decimal"/>
      <w:lvlText w:val="%5."/>
      <w:lvlJc w:val="left"/>
      <w:pPr>
        <w:tabs>
          <w:tab w:pos="3600" w:val="num"/>
        </w:tabs>
        <w:ind w:hanging="360" w:left="3600"/>
      </w:pPr>
    </w:lvl>
    <w:lvl w:ilvl="5">
      <w:start w:val="1"/>
      <w:numFmt w:val="decimal"/>
      <w:lvlText w:val="%6."/>
      <w:lvlJc w:val="left"/>
      <w:pPr>
        <w:tabs>
          <w:tab w:pos="4320" w:val="num"/>
        </w:tabs>
        <w:ind w:hanging="360" w:left="4320"/>
      </w:pPr>
    </w:lvl>
    <w:lvl w:ilvl="6">
      <w:start w:val="1"/>
      <w:numFmt w:val="decimal"/>
      <w:lvlText w:val="%7."/>
      <w:lvlJc w:val="left"/>
      <w:pPr>
        <w:tabs>
          <w:tab w:pos="5040" w:val="num"/>
        </w:tabs>
        <w:ind w:hanging="360" w:left="5040"/>
      </w:pPr>
    </w:lvl>
    <w:lvl w:ilvl="7">
      <w:start w:val="1"/>
      <w:numFmt w:val="decimal"/>
      <w:lvlText w:val="%8."/>
      <w:lvlJc w:val="left"/>
      <w:pPr>
        <w:tabs>
          <w:tab w:pos="5760" w:val="num"/>
        </w:tabs>
        <w:ind w:hanging="360" w:left="5760"/>
      </w:pPr>
    </w:lvl>
    <w:lvl w:ilvl="8">
      <w:start w:val="1"/>
      <w:numFmt w:val="decimal"/>
      <w:lvlText w:val="%9."/>
      <w:lvlJc w:val="left"/>
      <w:pPr>
        <w:tabs>
          <w:tab w:pos="6480" w:val="num"/>
        </w:tabs>
        <w:ind w:hanging="360" w:left="648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hanging="432" w:left="432"/>
      </w:pPr>
    </w:lvl>
    <w:lvl w:ilvl="1">
      <w:start w:val="1"/>
      <w:numFmt w:val="none"/>
      <w:suff w:val="nothing"/>
      <w:lvlText w:val=""/>
      <w:lvlJc w:val="left"/>
      <w:pPr>
        <w:ind w:hanging="576" w:left="576"/>
      </w:pPr>
    </w:lvl>
    <w:lvl w:ilvl="2">
      <w:start w:val="1"/>
      <w:numFmt w:val="none"/>
      <w:suff w:val="nothing"/>
      <w:lvlText w:val=""/>
      <w:lvlJc w:val="left"/>
      <w:pPr>
        <w:ind w:hanging="720" w:left="720"/>
      </w:pPr>
    </w:lvl>
    <w:lvl w:ilvl="3">
      <w:start w:val="1"/>
      <w:numFmt w:val="none"/>
      <w:suff w:val="nothing"/>
      <w:lvlText w:val=""/>
      <w:lvlJc w:val="left"/>
      <w:pPr>
        <w:ind w:hanging="864" w:left="864"/>
      </w:pPr>
    </w:lvl>
    <w:lvl w:ilvl="4">
      <w:start w:val="1"/>
      <w:numFmt w:val="none"/>
      <w:suff w:val="nothing"/>
      <w:lvlText w:val=""/>
      <w:lvlJc w:val="left"/>
      <w:pPr>
        <w:ind w:hanging="1008" w:left="1008"/>
      </w:pPr>
    </w:lvl>
    <w:lvl w:ilvl="5">
      <w:start w:val="1"/>
      <w:numFmt w:val="none"/>
      <w:suff w:val="nothing"/>
      <w:lvlText w:val=""/>
      <w:lvlJc w:val="left"/>
      <w:pPr>
        <w:ind w:hanging="1152" w:left="1152"/>
      </w:pPr>
    </w:lvl>
    <w:lvl w:ilvl="6">
      <w:start w:val="1"/>
      <w:numFmt w:val="none"/>
      <w:suff w:val="nothing"/>
      <w:lvlText w:val=""/>
      <w:lvlJc w:val="left"/>
      <w:pPr>
        <w:ind w:hanging="1296" w:left="1296"/>
      </w:pPr>
    </w:lvl>
    <w:lvl w:ilvl="7">
      <w:start w:val="1"/>
      <w:numFmt w:val="none"/>
      <w:suff w:val="nothing"/>
      <w:lvlText w:val=""/>
      <w:lvlJc w:val="left"/>
      <w:pPr>
        <w:ind w:hanging="1440" w:left="1440"/>
      </w:pPr>
    </w:lvl>
    <w:lvl w:ilvl="8">
      <w:start w:val="1"/>
      <w:numFmt w:val="none"/>
      <w:suff w:val="nothing"/>
      <w:lvlText w:val=""/>
      <w:lvlJc w:val="left"/>
      <w:pPr>
        <w:ind w:hanging="1584" w:left="1584"/>
      </w:pPr>
    </w:lvl>
  </w:abstractNum>
  <w:abstractNum w:abstractNumId="4">
    <w:lvl w:ilvl="0">
      <w:start w:val="1"/>
      <w:numFmt w:val="bullet"/>
      <w:lvlText w:val=""/>
      <w:lvlJc w:val="left"/>
      <w:pPr>
        <w:tabs>
          <w:tab w:pos="720" w:val="num"/>
        </w:tabs>
        <w:ind w:hanging="360" w:left="720"/>
      </w:pPr>
      <w:rPr>
        <w:rFonts w:ascii="Symbol" w:cs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pos="1440" w:val="num"/>
        </w:tabs>
        <w:ind w:hanging="360" w:left="1440"/>
      </w:pPr>
      <w:rPr>
        <w:rFonts w:ascii="Courier New" w:cs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pos="2160" w:val="num"/>
        </w:tabs>
        <w:ind w:hanging="360" w:left="2160"/>
      </w:pPr>
      <w:rPr>
        <w:rFonts w:ascii="Wingdings" w:cs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pos="2880" w:val="num"/>
        </w:tabs>
        <w:ind w:hanging="360" w:left="2880"/>
      </w:pPr>
      <w:rPr>
        <w:rFonts w:ascii="Wingdings" w:cs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pos="3600" w:val="num"/>
        </w:tabs>
        <w:ind w:hanging="360" w:left="3600"/>
      </w:pPr>
      <w:rPr>
        <w:rFonts w:ascii="Wingdings" w:cs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pos="4320" w:val="num"/>
        </w:tabs>
        <w:ind w:hanging="360" w:left="4320"/>
      </w:pPr>
      <w:rPr>
        <w:rFonts w:ascii="Wingdings" w:cs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pos="5040" w:val="num"/>
        </w:tabs>
        <w:ind w:hanging="360" w:left="5040"/>
      </w:pPr>
      <w:rPr>
        <w:rFonts w:ascii="Wingdings" w:cs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pos="5760" w:val="num"/>
        </w:tabs>
        <w:ind w:hanging="360" w:left="5760"/>
      </w:pPr>
      <w:rPr>
        <w:rFonts w:ascii="Wingdings" w:cs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pos="6480" w:val="num"/>
        </w:tabs>
        <w:ind w:hanging="360" w:left="6480"/>
      </w:pPr>
      <w:rPr>
        <w:rFonts w:ascii="Wingdings" w:cs="Wingdings" w:hAnsi="Wingdings" w:hint="default"/>
        <w:sz w:val="20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20"/>
</w:settings>
</file>

<file path=word/styles.xml><?xml version="1.0" encoding="utf-8"?>
<w:styles xmlns:w="http://schemas.openxmlformats.org/wordprocessingml/2006/main">
  <w:style w:styleId="style0" w:type="paragraph">
    <w:name w:val="Базовый"/>
    <w:next w:val="style0"/>
    <w:pPr>
      <w:widowControl/>
      <w:suppressAutoHyphens w:val="true"/>
      <w:spacing w:after="200" w:before="0" w:line="276" w:lineRule="auto"/>
      <w:contextualSpacing w:val="false"/>
    </w:pPr>
    <w:rPr>
      <w:rFonts w:ascii="Calibri" w:cs="Times New Roman" w:eastAsia="Calibri" w:hAnsi="Calibri"/>
      <w:color w:val="00000A"/>
      <w:sz w:val="22"/>
      <w:szCs w:val="22"/>
      <w:lang w:bidi="ar-SA" w:eastAsia="en-US" w:val="ru-RU"/>
    </w:rPr>
  </w:style>
  <w:style w:styleId="style15" w:type="character">
    <w:name w:val="Default Paragraph Font"/>
    <w:next w:val="style15"/>
    <w:rPr/>
  </w:style>
  <w:style w:styleId="style16" w:type="character">
    <w:name w:val="Текст выноски Знак"/>
    <w:basedOn w:val="style15"/>
    <w:next w:val="style16"/>
    <w:rPr>
      <w:rFonts w:ascii="Tahoma" w:cs="Tahoma" w:hAnsi="Tahoma"/>
      <w:sz w:val="16"/>
      <w:szCs w:val="16"/>
    </w:rPr>
  </w:style>
  <w:style w:styleId="style17" w:type="character">
    <w:name w:val="ListLabel 1"/>
    <w:next w:val="style17"/>
    <w:rPr>
      <w:rFonts w:ascii="Times New Roman" w:cs="Symbol" w:hAnsi="Times New Roman"/>
      <w:sz w:val="20"/>
    </w:rPr>
  </w:style>
  <w:style w:styleId="style18" w:type="character">
    <w:name w:val="ListLabel 2"/>
    <w:next w:val="style18"/>
    <w:rPr>
      <w:rFonts w:cs="Courier New"/>
      <w:sz w:val="20"/>
    </w:rPr>
  </w:style>
  <w:style w:styleId="style19" w:type="character">
    <w:name w:val="ListLabel 3"/>
    <w:next w:val="style19"/>
    <w:rPr>
      <w:rFonts w:cs="Wingdings"/>
      <w:sz w:val="20"/>
    </w:rPr>
  </w:style>
  <w:style w:styleId="style20" w:type="character">
    <w:name w:val="Интернет-ссылка"/>
    <w:next w:val="style20"/>
    <w:rPr>
      <w:color w:val="000080"/>
      <w:u w:val="single"/>
      <w:lang w:bidi="zxx-" w:eastAsia="zxx-" w:val="zxx-"/>
    </w:rPr>
  </w:style>
  <w:style w:styleId="style21" w:type="character">
    <w:name w:val="ListLabel 4"/>
    <w:next w:val="style21"/>
    <w:rPr>
      <w:rFonts w:cs="Symbol"/>
      <w:sz w:val="20"/>
    </w:rPr>
  </w:style>
  <w:style w:styleId="style22" w:type="character">
    <w:name w:val="ListLabel 5"/>
    <w:next w:val="style22"/>
    <w:rPr>
      <w:rFonts w:cs="Courier New"/>
      <w:sz w:val="20"/>
    </w:rPr>
  </w:style>
  <w:style w:styleId="style23" w:type="character">
    <w:name w:val="ListLabel 6"/>
    <w:next w:val="style23"/>
    <w:rPr>
      <w:rFonts w:cs="Wingdings"/>
      <w:sz w:val="20"/>
    </w:rPr>
  </w:style>
  <w:style w:styleId="style24" w:type="character">
    <w:name w:val="ListLabel 7"/>
    <w:next w:val="style24"/>
    <w:rPr>
      <w:rFonts w:cs="Symbol"/>
      <w:sz w:val="20"/>
    </w:rPr>
  </w:style>
  <w:style w:styleId="style25" w:type="character">
    <w:name w:val="ListLabel 8"/>
    <w:next w:val="style25"/>
    <w:rPr>
      <w:rFonts w:cs="Courier New"/>
      <w:sz w:val="20"/>
    </w:rPr>
  </w:style>
  <w:style w:styleId="style26" w:type="character">
    <w:name w:val="ListLabel 9"/>
    <w:next w:val="style26"/>
    <w:rPr>
      <w:rFonts w:cs="Wingdings"/>
      <w:sz w:val="20"/>
    </w:rPr>
  </w:style>
  <w:style w:styleId="style27" w:type="character">
    <w:name w:val="ListLabel 10"/>
    <w:next w:val="style27"/>
    <w:rPr>
      <w:rFonts w:cs="Symbol"/>
      <w:sz w:val="20"/>
    </w:rPr>
  </w:style>
  <w:style w:styleId="style28" w:type="character">
    <w:name w:val="ListLabel 11"/>
    <w:next w:val="style28"/>
    <w:rPr>
      <w:rFonts w:cs="Courier New"/>
      <w:sz w:val="20"/>
    </w:rPr>
  </w:style>
  <w:style w:styleId="style29" w:type="character">
    <w:name w:val="ListLabel 12"/>
    <w:next w:val="style29"/>
    <w:rPr>
      <w:rFonts w:cs="Wingdings"/>
      <w:sz w:val="20"/>
    </w:rPr>
  </w:style>
  <w:style w:styleId="style30" w:type="character">
    <w:name w:val="WW8Num25z0"/>
    <w:next w:val="style30"/>
    <w:rPr>
      <w:rFonts w:ascii="Symbol" w:cs="Symbol" w:hAnsi="Symbol"/>
      <w:sz w:val="20"/>
    </w:rPr>
  </w:style>
  <w:style w:styleId="style31" w:type="character">
    <w:name w:val="WW8Num25z1"/>
    <w:next w:val="style31"/>
    <w:rPr>
      <w:rFonts w:ascii="Courier New" w:cs="Courier New" w:hAnsi="Courier New"/>
      <w:sz w:val="20"/>
    </w:rPr>
  </w:style>
  <w:style w:styleId="style32" w:type="character">
    <w:name w:val="WW8Num25z2"/>
    <w:next w:val="style32"/>
    <w:rPr>
      <w:rFonts w:ascii="Wingdings" w:cs="Wingdings" w:hAnsi="Wingdings"/>
      <w:sz w:val="20"/>
    </w:rPr>
  </w:style>
  <w:style w:styleId="style33" w:type="paragraph">
    <w:name w:val="Заголовок"/>
    <w:basedOn w:val="style0"/>
    <w:next w:val="style34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34" w:type="paragraph">
    <w:name w:val="Основной текст"/>
    <w:basedOn w:val="style0"/>
    <w:next w:val="style34"/>
    <w:pPr>
      <w:spacing w:after="120" w:before="0"/>
      <w:contextualSpacing w:val="false"/>
    </w:pPr>
    <w:rPr/>
  </w:style>
  <w:style w:styleId="style35" w:type="paragraph">
    <w:name w:val="Список"/>
    <w:basedOn w:val="style34"/>
    <w:next w:val="style35"/>
    <w:pPr/>
    <w:rPr>
      <w:rFonts w:cs="Mangal"/>
    </w:rPr>
  </w:style>
  <w:style w:styleId="style36" w:type="paragraph">
    <w:name w:val="Название"/>
    <w:basedOn w:val="style0"/>
    <w:next w:val="style36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37" w:type="paragraph">
    <w:name w:val="Указатель"/>
    <w:basedOn w:val="style0"/>
    <w:next w:val="style37"/>
    <w:pPr>
      <w:suppressLineNumbers/>
    </w:pPr>
    <w:rPr>
      <w:rFonts w:cs="Mangal"/>
    </w:rPr>
  </w:style>
  <w:style w:styleId="style38" w:type="paragraph">
    <w:name w:val="Balloon Text"/>
    <w:basedOn w:val="style0"/>
    <w:next w:val="style38"/>
    <w:pPr>
      <w:spacing w:after="0" w:before="0" w:line="100" w:lineRule="atLeast"/>
      <w:contextualSpacing w:val="false"/>
    </w:pPr>
    <w:rPr>
      <w:rFonts w:ascii="Tahoma" w:cs="Tahoma" w:hAnsi="Tahoma"/>
      <w:sz w:val="16"/>
      <w:szCs w:val="1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2020-11-05T11:07:00.00Z</dcterms:created>
  <dc:creator>Нюта</dc:creator>
  <cp:lastModifiedBy>Нюта</cp:lastModifiedBy>
  <dcterms:modified xsi:type="dcterms:W3CDTF">2020-11-05T11:15:00.00Z</dcterms:modified>
  <cp:revision>1</cp:revision>
</cp:coreProperties>
</file>