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-594360</wp:posOffset>
            </wp:positionV>
            <wp:extent cx="9072245" cy="659066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59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center"/>
      </w:pPr>
      <w:r>
        <w:rPr/>
      </w:r>
    </w:p>
    <w:p>
      <w:pPr>
        <w:pStyle w:val="style44"/>
        <w:spacing w:after="28" w:before="28" w:line="294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425" w:left="426" w:right="0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Аннотация к рабочим программам разрабатывалась на основе следующих нормативных документов:</w:t>
      </w:r>
    </w:p>
    <w:p>
      <w:pPr>
        <w:pStyle w:val="style47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>
      <w:pPr>
        <w:pStyle w:val="style45"/>
        <w:numPr>
          <w:ilvl w:val="0"/>
          <w:numId w:val="2"/>
        </w:numPr>
        <w:spacing w:after="200" w:before="0" w:line="276" w:lineRule="auto"/>
        <w:contextualSpacing/>
      </w:pPr>
      <w:r>
        <w:rPr/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</w:p>
    <w:p>
      <w:pPr>
        <w:pStyle w:val="style45"/>
        <w:numPr>
          <w:ilvl w:val="0"/>
          <w:numId w:val="2"/>
        </w:numPr>
        <w:spacing w:after="200" w:before="0" w:line="276" w:lineRule="auto"/>
        <w:contextualSpacing/>
        <w:jc w:val="both"/>
      </w:pPr>
      <w:r>
        <w:rPr/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</w:t>
      </w:r>
    </w:p>
    <w:p>
      <w:pPr>
        <w:pStyle w:val="style47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Примерная программа среднего общего образования по русскому языку(базовый уровень)</w:t>
      </w:r>
    </w:p>
    <w:p>
      <w:pPr>
        <w:pStyle w:val="style47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Учебный план  среднего общего образования Муниципального автономного общеобразовательного учреждения  Бегишевской средней общеобразовательной школы Вагайского района Тюменской области;</w:t>
      </w:r>
    </w:p>
    <w:p>
      <w:pPr>
        <w:pStyle w:val="style47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</w:rPr>
        <w:t>Авторская программа:</w:t>
      </w:r>
      <w:r>
        <w:rPr/>
        <w:t xml:space="preserve"> </w:t>
      </w:r>
      <w:r>
        <w:rPr>
          <w:rFonts w:ascii="Times New Roman" w:hAnsi="Times New Roman"/>
          <w:sz w:val="24"/>
          <w:szCs w:val="24"/>
        </w:rPr>
        <w:t>Программа курса «Русский язык». 10—11 классы. Базовый уровень / авт.-сост. Н.Г. Гольцова. —  М.: ООО «Русское слово — учебник», 2014.</w:t>
      </w:r>
    </w:p>
    <w:p>
      <w:pPr>
        <w:pStyle w:val="style0"/>
        <w:spacing w:after="0" w:before="0" w:line="100" w:lineRule="atLeast"/>
        <w:ind w:firstLine="425" w:left="426" w:right="0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cs="Times New Roman" w:hAnsi="Times New Roman"/>
          <w:b/>
          <w:color w:val="000000"/>
          <w:sz w:val="24"/>
          <w:szCs w:val="24"/>
        </w:rPr>
        <w:t>Сведения об используемом учебнике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1494" w:right="0"/>
        <w:contextualSpacing w:val="false"/>
      </w:pPr>
      <w:r>
        <w:rPr>
          <w:rFonts w:ascii="Times New Roman" w:cs="Times New Roman" w:hAnsi="Times New Roman"/>
          <w:color w:val="000000"/>
          <w:sz w:val="24"/>
          <w:szCs w:val="24"/>
        </w:rPr>
        <w:t>Гольцова Н.Г., Шамшин И.В., Мищерина М.А. Русский язык. 10-11 классы:     Учебник для общеобразовательных учреждений базовый уровень: в 2 ч./.М.: Русское слово. 2013г.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1494" w:right="0"/>
        <w:contextualSpacing w:val="false"/>
      </w:pPr>
      <w:r>
        <w:rPr>
          <w:rFonts w:ascii="Times New Roman" w:cs="Times New Roman" w:hAnsi="Times New Roman"/>
          <w:color w:val="000000"/>
          <w:sz w:val="24"/>
          <w:szCs w:val="24"/>
        </w:rPr>
        <w:t>Гольцова Н.Г. Программа к учебнику «Русский язык. 10-11 классы». М.: «Русское слово», 2012 г.</w:t>
      </w:r>
    </w:p>
    <w:p>
      <w:pPr>
        <w:pStyle w:val="style0"/>
        <w:spacing w:after="0" w:before="0" w:line="100" w:lineRule="atLeast"/>
        <w:ind w:firstLine="425" w:left="426" w:right="0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color w:val="000000"/>
          <w:sz w:val="24"/>
          <w:szCs w:val="24"/>
        </w:rPr>
        <w:t>Описание места учебного предмета  в учебном плане школы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На изучение предмета в 11 классе отводится 3 часа в неделю, всего 102 часов за учебный год. </w:t>
      </w:r>
    </w:p>
    <w:p>
      <w:pPr>
        <w:pStyle w:val="style0"/>
        <w:spacing w:after="0" w:before="0" w:line="100" w:lineRule="atLeast"/>
        <w:ind w:firstLine="425" w:left="426" w:right="0"/>
        <w:contextualSpacing w:val="false"/>
      </w:pPr>
      <w:r>
        <w:rPr>
          <w:rFonts w:ascii="Times New Roman" w:cs="Times New Roman" w:hAnsi="Times New Roman"/>
          <w:b/>
          <w:color w:val="000000"/>
          <w:sz w:val="24"/>
          <w:szCs w:val="24"/>
        </w:rPr>
        <w:t>Цели и задачи обучения</w:t>
      </w:r>
    </w:p>
    <w:p>
      <w:pPr>
        <w:pStyle w:val="style0"/>
        <w:spacing w:after="0" w:before="0" w:line="100" w:lineRule="atLeast"/>
        <w:ind w:firstLine="425" w:left="426" w:right="0"/>
        <w:contextualSpacing w:val="false"/>
        <w:jc w:val="both"/>
      </w:pPr>
      <w:r>
        <w:rPr/>
      </w:r>
    </w:p>
    <w:p>
      <w:pPr>
        <w:pStyle w:val="style46"/>
        <w:shd w:fill="FFFFFF" w:val="clear"/>
        <w:spacing w:after="28" w:before="28"/>
        <w:contextualSpacing w:val="false"/>
      </w:pPr>
      <w:r>
        <w:rPr>
          <w:color w:val="000000"/>
        </w:rPr>
        <w:t>Изучение русского языка на базовом уровне среднего (полного) общего образования направлено на достижение следующих целей:</w:t>
      </w:r>
    </w:p>
    <w:p>
      <w:pPr>
        <w:pStyle w:val="style46"/>
        <w:shd w:fill="FFFFFF" w:val="clear"/>
        <w:spacing w:after="28" w:before="28"/>
        <w:contextualSpacing w:val="false"/>
      </w:pPr>
      <w:r>
        <w:rPr>
          <w:color w:val="000000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>
      <w:pPr>
        <w:pStyle w:val="style46"/>
        <w:shd w:fill="FFFFFF" w:val="clear"/>
        <w:spacing w:after="28" w:before="28"/>
        <w:contextualSpacing w:val="false"/>
      </w:pPr>
      <w:r>
        <w:rPr>
          <w:color w:val="000000"/>
        </w:rPr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>
      <w:pPr>
        <w:pStyle w:val="style46"/>
        <w:shd w:fill="FFFFFF" w:val="clear"/>
        <w:spacing w:after="28" w:before="28"/>
        <w:contextualSpacing w:val="false"/>
      </w:pPr>
      <w:r>
        <w:rPr>
          <w:color w:val="000000"/>
        </w:rPr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>
      <w:pPr>
        <w:pStyle w:val="style46"/>
        <w:shd w:fill="FFFFFF" w:val="clear"/>
        <w:spacing w:after="28" w:before="28"/>
        <w:contextualSpacing w:val="false"/>
      </w:pPr>
      <w:r>
        <w:rPr>
          <w:color w:val="000000"/>
        </w:rPr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>
      <w:pPr>
        <w:pStyle w:val="style46"/>
        <w:shd w:fill="FFFFFF" w:val="clear"/>
        <w:spacing w:after="28" w:before="28"/>
        <w:contextualSpacing w:val="false"/>
      </w:pPr>
      <w:r>
        <w:rPr>
          <w:color w:val="000000"/>
        </w:rPr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>
      <w:pPr>
        <w:pStyle w:val="style46"/>
        <w:shd w:fill="FFFFFF" w:val="clear"/>
        <w:spacing w:after="28" w:before="28"/>
        <w:contextualSpacing w:val="false"/>
      </w:pPr>
      <w:r>
        <w:rPr>
          <w:color w:val="000000"/>
        </w:rPr>
        <w:t>Достижение указанных целей осуществляется в процессе совершенствования коммуникативной, языковой и лингвистической (языковедческой), культуроведческой компетенций.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3600" w:val="left"/>
        </w:tabs>
        <w:ind w:hanging="360" w:left="720" w:right="0"/>
        <w:jc w:val="both"/>
      </w:pPr>
      <w:r>
        <w:rPr>
          <w:rFonts w:ascii="Times New Roman" w:hAnsi="Times New Roman"/>
          <w:b/>
          <w:bCs/>
          <w:sz w:val="24"/>
          <w:szCs w:val="24"/>
        </w:rPr>
        <w:t>формирование языковой компетенции школьников: ф</w:t>
      </w:r>
      <w:r>
        <w:rPr>
          <w:rFonts w:ascii="Times New Roman" w:hAnsi="Times New Roman"/>
          <w:sz w:val="24"/>
          <w:szCs w:val="24"/>
        </w:rPr>
        <w:t>ормирование у учащихся языковой интуиции; приобретение и систематизация знаний о родном языке с целью обеспечить ориентировку в системе языка, необходимую для форми</w:t>
        <w:softHyphen/>
        <w:t>рования речевых умений и навыков, для обеспечения произвольности, намеренности и осознанности речевой деятельности на родном языке;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3600" w:val="left"/>
        </w:tabs>
        <w:ind w:hanging="360" w:left="720" w:right="0"/>
        <w:jc w:val="both"/>
      </w:pPr>
      <w:r>
        <w:rPr>
          <w:rFonts w:ascii="Times New Roman" w:hAnsi="Times New Roman"/>
          <w:b/>
          <w:bCs/>
          <w:sz w:val="24"/>
          <w:szCs w:val="24"/>
        </w:rPr>
        <w:t>формирование коммуникативной компетенции: о</w:t>
      </w:r>
      <w:r>
        <w:rPr>
          <w:rFonts w:ascii="Times New Roman" w:hAnsi="Times New Roman"/>
          <w:sz w:val="24"/>
          <w:szCs w:val="24"/>
        </w:rPr>
        <w:t>владение функциональной грамотностью (способность учащегося свободно использовать навыки чтения и письма для целей получения информации из текста, т.е. для его понимания и преобразования, и для целей передачи</w:t>
        <w:br/>
        <w:t>такой информации в реальном общении);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3600" w:val="left"/>
        </w:tabs>
        <w:ind w:hanging="360" w:left="720" w:right="0"/>
        <w:jc w:val="both"/>
      </w:pPr>
      <w:r>
        <w:rPr>
          <w:rFonts w:ascii="Times New Roman" w:hAnsi="Times New Roman"/>
          <w:b/>
          <w:sz w:val="24"/>
          <w:szCs w:val="24"/>
        </w:rPr>
        <w:t xml:space="preserve">развитие умения </w:t>
      </w:r>
      <w:r>
        <w:rPr>
          <w:rFonts w:ascii="Times New Roman" w:hAnsi="Times New Roman"/>
          <w:sz w:val="24"/>
          <w:szCs w:val="24"/>
        </w:rPr>
        <w:t>пользоваться различ</w:t>
        <w:softHyphen/>
        <w:t>ными видами чтения: изучающим, просмотровым, ознакомительным; умения переходить от одной системы приемов чтения и понимания тек</w:t>
        <w:softHyphen/>
        <w:t>ста к другой, адекватной данной цели чтения и понимания данного вида текстов (гибкость чтения), и умение понимать и анализировать худо</w:t>
        <w:softHyphen/>
        <w:t>жественный  и учебный тексты;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3600" w:val="left"/>
          <w:tab w:leader="none" w:pos="4171" w:val="left"/>
        </w:tabs>
        <w:ind w:hanging="360" w:left="720" w:right="0"/>
        <w:jc w:val="both"/>
      </w:pPr>
      <w:r>
        <w:rPr>
          <w:rFonts w:ascii="Times New Roman" w:hAnsi="Times New Roman"/>
          <w:b/>
          <w:sz w:val="24"/>
          <w:szCs w:val="24"/>
        </w:rPr>
        <w:t>овладение навыками и умениями</w:t>
      </w:r>
      <w:r>
        <w:rPr>
          <w:rFonts w:ascii="Times New Roman" w:hAnsi="Times New Roman"/>
          <w:sz w:val="24"/>
          <w:szCs w:val="24"/>
        </w:rPr>
        <w:t xml:space="preserve"> понимания и анализа текстов разных видов, среди которых наиболее актуально умение адекватного восприятия художественного и учебного текстов;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3600" w:val="left"/>
          <w:tab w:leader="none" w:pos="4171" w:val="left"/>
        </w:tabs>
        <w:ind w:hanging="360" w:left="720" w:right="0"/>
        <w:jc w:val="both"/>
      </w:pPr>
      <w:r>
        <w:rPr>
          <w:rFonts w:ascii="Times New Roman" w:hAnsi="Times New Roman"/>
          <w:b/>
          <w:sz w:val="24"/>
          <w:szCs w:val="24"/>
        </w:rPr>
        <w:t>овладение продуктивными навыками и умениями</w:t>
      </w:r>
      <w:r>
        <w:rPr>
          <w:rFonts w:ascii="Times New Roman" w:hAnsi="Times New Roman"/>
          <w:sz w:val="24"/>
          <w:szCs w:val="24"/>
        </w:rPr>
        <w:t xml:space="preserve"> различных ви</w:t>
        <w:softHyphen/>
        <w:t>дов устной и письменной речи;</w:t>
      </w:r>
    </w:p>
    <w:p>
      <w:pPr>
        <w:pStyle w:val="style0"/>
        <w:widowControl w:val="false"/>
        <w:numPr>
          <w:ilvl w:val="0"/>
          <w:numId w:val="3"/>
        </w:numPr>
        <w:shd w:fill="FFFFFF" w:val="clear"/>
        <w:tabs>
          <w:tab w:leader="none" w:pos="3600" w:val="left"/>
        </w:tabs>
        <w:ind w:hanging="360" w:left="720" w:right="0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формирование лингвистической компетенции:  </w:t>
      </w:r>
      <w:r>
        <w:rPr>
          <w:rFonts w:ascii="Times New Roman" w:hAnsi="Times New Roman"/>
          <w:bCs/>
          <w:sz w:val="24"/>
          <w:szCs w:val="24"/>
        </w:rPr>
        <w:t>овладение системой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знаний о рус</w:t>
        <w:softHyphen/>
        <w:t>ском языке как науке, о методах этой науки, об этапах развития, о выдающихся ученых-лингвистах;</w:t>
      </w:r>
    </w:p>
    <w:p>
      <w:pPr>
        <w:pStyle w:val="style0"/>
        <w:numPr>
          <w:ilvl w:val="0"/>
          <w:numId w:val="3"/>
        </w:numPr>
        <w:tabs>
          <w:tab w:leader="none" w:pos="3600" w:val="left"/>
        </w:tabs>
        <w:suppressAutoHyphens w:val="true"/>
        <w:ind w:hanging="360" w:left="720" w:right="0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интеллектуальное развитие: </w:t>
      </w:r>
      <w:r>
        <w:rPr>
          <w:rFonts w:ascii="Times New Roman" w:hAnsi="Times New Roman"/>
          <w:bCs/>
          <w:sz w:val="24"/>
          <w:szCs w:val="24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и абстрактное мышление, способность к преодолению трудностей;</w:t>
      </w:r>
    </w:p>
    <w:p>
      <w:pPr>
        <w:pStyle w:val="style0"/>
        <w:numPr>
          <w:ilvl w:val="0"/>
          <w:numId w:val="3"/>
        </w:numPr>
        <w:tabs>
          <w:tab w:leader="none" w:pos="3600" w:val="left"/>
        </w:tabs>
        <w:suppressAutoHyphens w:val="true"/>
        <w:ind w:hanging="360" w:left="720" w:right="0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формирование культуроведческой компетенции:  </w:t>
      </w:r>
      <w:r>
        <w:rPr>
          <w:rFonts w:ascii="Times New Roman" w:hAnsi="Times New Roman"/>
          <w:bCs/>
          <w:sz w:val="24"/>
          <w:szCs w:val="24"/>
        </w:rPr>
        <w:t xml:space="preserve">воспитание культуры личности, отношения к русскому языку как к части общечеловеческой культуры, как одному из мировых языков, понимание значимости русского языка для научно-технического прогресса; раскрытие </w:t>
      </w:r>
      <w:r>
        <w:rPr>
          <w:rFonts w:ascii="Times New Roman" w:hAnsi="Times New Roman"/>
          <w:sz w:val="24"/>
          <w:szCs w:val="24"/>
        </w:rPr>
        <w:t>его тесную связь с историей, духовной культурой, менталитетом русского народа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4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Система контроля включает само-, взаимо-, учительский контроль и позволяет оценить знания, умения и навыки учащихся комплексно по следующим компонентам:</w:t>
      </w:r>
    </w:p>
    <w:p>
      <w:pPr>
        <w:pStyle w:val="style40"/>
        <w:widowControl/>
        <w:numPr>
          <w:ilvl w:val="0"/>
          <w:numId w:val="4"/>
        </w:numPr>
        <w:tabs>
          <w:tab w:leader="none" w:pos="4242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система знаний;</w:t>
      </w:r>
    </w:p>
    <w:p>
      <w:pPr>
        <w:pStyle w:val="style40"/>
        <w:widowControl/>
        <w:numPr>
          <w:ilvl w:val="0"/>
          <w:numId w:val="4"/>
        </w:numPr>
        <w:tabs>
          <w:tab w:leader="none" w:pos="4242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умения и навыки (предметные и общие учебные);</w:t>
      </w:r>
    </w:p>
    <w:p>
      <w:pPr>
        <w:pStyle w:val="style40"/>
        <w:widowControl/>
        <w:numPr>
          <w:ilvl w:val="0"/>
          <w:numId w:val="4"/>
        </w:numPr>
        <w:tabs>
          <w:tab w:leader="none" w:pos="4242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способы деятельности (познавательная, информационно-коммуникативная и рефлексивные);</w:t>
      </w:r>
    </w:p>
    <w:p>
      <w:pPr>
        <w:pStyle w:val="style40"/>
        <w:widowControl/>
        <w:numPr>
          <w:ilvl w:val="0"/>
          <w:numId w:val="4"/>
        </w:numPr>
        <w:tabs>
          <w:tab w:leader="none" w:pos="4242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включенность учащегося в учебно-познавательную деятельность и уровень овладения ею (репродуктивный, конструктивный и творческий);</w:t>
      </w:r>
    </w:p>
    <w:p>
      <w:pPr>
        <w:pStyle w:val="style40"/>
        <w:widowControl/>
        <w:numPr>
          <w:ilvl w:val="0"/>
          <w:numId w:val="4"/>
        </w:numPr>
        <w:tabs>
          <w:tab w:leader="none" w:pos="4242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взаимопроверка учащимися друг друга при комплексно-распределительной деятельности в группах;</w:t>
      </w:r>
    </w:p>
    <w:p>
      <w:pPr>
        <w:pStyle w:val="style40"/>
        <w:widowControl/>
        <w:numPr>
          <w:ilvl w:val="0"/>
          <w:numId w:val="4"/>
        </w:numPr>
        <w:tabs>
          <w:tab w:leader="none" w:pos="4242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содержание и форма представленных реферативных, творческих, исследовательских и других видов работ;</w:t>
      </w:r>
    </w:p>
    <w:p>
      <w:pPr>
        <w:pStyle w:val="style40"/>
        <w:widowControl/>
        <w:numPr>
          <w:ilvl w:val="0"/>
          <w:numId w:val="4"/>
        </w:numPr>
        <w:tabs>
          <w:tab w:leader="none" w:pos="4242" w:val="left"/>
        </w:tabs>
        <w:spacing w:after="0" w:before="0" w:line="200" w:lineRule="atLeast"/>
        <w:ind w:hanging="0" w:left="707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публичная защита творческих работ, исследований и проектов.</w:t>
      </w:r>
    </w:p>
    <w:p>
      <w:pPr>
        <w:pStyle w:val="style40"/>
        <w:widowControl/>
        <w:spacing w:after="0" w:before="0" w:line="200" w:lineRule="atLeast"/>
        <w:ind w:hanging="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Промежуточный контроль проводится в форме тестов в формате ЕГЭ, контрольных, самостоятельных работ, устных зачетов (три уровня сложности), сочинений, изложений, диктантов и контрольных диктантов, собеседований, защиты проектов, игр.</w:t>
      </w:r>
    </w:p>
    <w:p>
      <w:pPr>
        <w:pStyle w:val="style40"/>
        <w:widowControl/>
        <w:spacing w:after="0" w:before="0" w:line="200" w:lineRule="atLeast"/>
        <w:ind w:hanging="0" w:left="0" w:right="0"/>
        <w:contextualSpacing w:val="false"/>
        <w:jc w:val="both"/>
      </w:pPr>
      <w:bookmarkStart w:id="0" w:name="_GoBack"/>
      <w:bookmarkStart w:id="1" w:name="_GoBack"/>
      <w:bookmarkEnd w:id="1"/>
      <w:r>
        <w:rPr/>
      </w:r>
    </w:p>
    <w:p>
      <w:pPr>
        <w:pStyle w:val="style0"/>
        <w:widowControl/>
        <w:suppressAutoHyphens w:val="true"/>
        <w:spacing w:after="160" w:before="0" w:line="252" w:lineRule="auto"/>
        <w:contextualSpacing w:val="false"/>
      </w:pPr>
      <w:r>
        <w:rPr/>
      </w:r>
    </w:p>
    <w:sectPr>
      <w:type w:val="nextPage"/>
      <w:pgSz w:h="11906" w:orient="landscape" w:w="16838"/>
      <w:pgMar w:bottom="1121" w:footer="0" w:gutter="0" w:header="0" w:left="1701" w:right="850" w:top="825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OpenSymbol">
    <w:altName w:val="Arial Unicode MS"/>
    <w:charset w:val="80"/>
    <w:family w:val="auto"/>
    <w:pitch w:val="default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1494"/>
      </w:pPr>
    </w:lvl>
    <w:lvl w:ilvl="1">
      <w:start w:val="1"/>
      <w:numFmt w:val="lowerLetter"/>
      <w:lvlText w:val="%2."/>
      <w:lvlJc w:val="left"/>
      <w:pPr>
        <w:ind w:hanging="360" w:left="2214"/>
      </w:pPr>
    </w:lvl>
    <w:lvl w:ilvl="2">
      <w:start w:val="1"/>
      <w:numFmt w:val="lowerRoman"/>
      <w:lvlText w:val="%3."/>
      <w:lvlJc w:val="right"/>
      <w:pPr>
        <w:ind w:hanging="180" w:left="2934"/>
      </w:pPr>
    </w:lvl>
    <w:lvl w:ilvl="3">
      <w:start w:val="1"/>
      <w:numFmt w:val="decimal"/>
      <w:lvlText w:val="%4."/>
      <w:lvlJc w:val="left"/>
      <w:pPr>
        <w:ind w:hanging="360" w:left="3654"/>
      </w:pPr>
    </w:lvl>
    <w:lvl w:ilvl="4">
      <w:start w:val="1"/>
      <w:numFmt w:val="lowerLetter"/>
      <w:lvlText w:val="%5."/>
      <w:lvlJc w:val="left"/>
      <w:pPr>
        <w:ind w:hanging="360" w:left="4374"/>
      </w:pPr>
    </w:lvl>
    <w:lvl w:ilvl="5">
      <w:start w:val="1"/>
      <w:numFmt w:val="lowerRoman"/>
      <w:lvlText w:val="%6."/>
      <w:lvlJc w:val="right"/>
      <w:pPr>
        <w:ind w:hanging="180" w:left="5094"/>
      </w:pPr>
    </w:lvl>
    <w:lvl w:ilvl="6">
      <w:start w:val="1"/>
      <w:numFmt w:val="decimal"/>
      <w:lvlText w:val="%7."/>
      <w:lvlJc w:val="left"/>
      <w:pPr>
        <w:ind w:hanging="360" w:left="5814"/>
      </w:pPr>
    </w:lvl>
    <w:lvl w:ilvl="7">
      <w:start w:val="1"/>
      <w:numFmt w:val="lowerLetter"/>
      <w:lvlText w:val="%8."/>
      <w:lvlJc w:val="left"/>
      <w:pPr>
        <w:ind w:hanging="360" w:left="6534"/>
      </w:pPr>
    </w:lvl>
    <w:lvl w:ilvl="8">
      <w:start w:val="1"/>
      <w:numFmt w:val="lowerRoman"/>
      <w:lvlText w:val="%9."/>
      <w:lvlJc w:val="right"/>
      <w:pPr>
        <w:ind w:hanging="180" w:left="7254"/>
      </w:p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"/>
      <w:lvlJc w:val="left"/>
      <w:pPr>
        <w:tabs>
          <w:tab w:pos="720" w:val="num"/>
        </w:tabs>
        <w:ind w:hanging="360" w:left="72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suff w:val="nothing"/>
      <w:lvlText w:val=""/>
      <w:lvlJc w:val="left"/>
      <w:pPr>
        <w:ind w:hanging="0" w:left="707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pos="1414" w:val="num"/>
        </w:tabs>
        <w:ind w:hanging="283" w:left="1414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pos="2121" w:val="num"/>
        </w:tabs>
        <w:ind w:hanging="283" w:left="2121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pos="2828" w:val="num"/>
        </w:tabs>
        <w:ind w:hanging="283" w:left="2828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pos="3535" w:val="num"/>
        </w:tabs>
        <w:ind w:hanging="283" w:left="3535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pos="4242" w:val="num"/>
        </w:tabs>
        <w:ind w:hanging="283" w:left="424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pos="4949" w:val="num"/>
        </w:tabs>
        <w:ind w:hanging="283" w:left="4949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pos="5656" w:val="num"/>
        </w:tabs>
        <w:ind w:hanging="283" w:left="5656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pos="6363" w:val="num"/>
        </w:tabs>
        <w:ind w:hanging="283" w:left="6363"/>
      </w:pPr>
      <w:rPr>
        <w:rFonts w:ascii="Symbol" w:cs="Symbol" w:hAnsi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Courier New"/>
    </w:rPr>
  </w:style>
  <w:style w:styleId="style17" w:type="character">
    <w:name w:val="ListLabel 2"/>
    <w:next w:val="style17"/>
    <w:rPr>
      <w:rFonts w:cs="Symbol"/>
    </w:rPr>
  </w:style>
  <w:style w:styleId="style18" w:type="character">
    <w:name w:val="ListLabel 3"/>
    <w:next w:val="style18"/>
    <w:rPr>
      <w:rFonts w:cs="Courier New"/>
    </w:rPr>
  </w:style>
  <w:style w:styleId="style19" w:type="character">
    <w:name w:val="ListLabel 4"/>
    <w:next w:val="style19"/>
    <w:rPr>
      <w:rFonts w:cs="Wingdings"/>
    </w:rPr>
  </w:style>
  <w:style w:styleId="style20" w:type="character">
    <w:name w:val="ListLabel 5"/>
    <w:next w:val="style20"/>
    <w:rPr>
      <w:rFonts w:cs="Symbol"/>
    </w:rPr>
  </w:style>
  <w:style w:styleId="style21" w:type="character">
    <w:name w:val="ListLabel 6"/>
    <w:next w:val="style21"/>
    <w:rPr>
      <w:rFonts w:cs="Courier New"/>
    </w:rPr>
  </w:style>
  <w:style w:styleId="style22" w:type="character">
    <w:name w:val="ListLabel 7"/>
    <w:next w:val="style22"/>
    <w:rPr>
      <w:rFonts w:cs="Wingdings"/>
    </w:rPr>
  </w:style>
  <w:style w:styleId="style23" w:type="character">
    <w:name w:val="Маркеры списка"/>
    <w:next w:val="style23"/>
    <w:rPr>
      <w:rFonts w:ascii="OpenSymbol" w:cs="OpenSymbol" w:eastAsia="OpenSymbol" w:hAnsi="OpenSymbol"/>
    </w:rPr>
  </w:style>
  <w:style w:styleId="style24" w:type="character">
    <w:name w:val="ListLabel 8"/>
    <w:next w:val="style24"/>
    <w:rPr>
      <w:rFonts w:cs="Symbol"/>
    </w:rPr>
  </w:style>
  <w:style w:styleId="style25" w:type="character">
    <w:name w:val="ListLabel 9"/>
    <w:next w:val="style25"/>
    <w:rPr>
      <w:rFonts w:cs="Courier New"/>
    </w:rPr>
  </w:style>
  <w:style w:styleId="style26" w:type="character">
    <w:name w:val="ListLabel 10"/>
    <w:next w:val="style26"/>
    <w:rPr>
      <w:rFonts w:cs="Wingdings"/>
    </w:rPr>
  </w:style>
  <w:style w:styleId="style27" w:type="character">
    <w:name w:val="ListLabel 11"/>
    <w:next w:val="style27"/>
    <w:rPr>
      <w:rFonts w:cs="Symbol"/>
    </w:rPr>
  </w:style>
  <w:style w:styleId="style28" w:type="character">
    <w:name w:val="ListLabel 12"/>
    <w:next w:val="style28"/>
    <w:rPr>
      <w:rFonts w:cs="Courier New"/>
    </w:rPr>
  </w:style>
  <w:style w:styleId="style29" w:type="character">
    <w:name w:val="ListLabel 13"/>
    <w:next w:val="style29"/>
    <w:rPr>
      <w:rFonts w:cs="Wingdings"/>
    </w:rPr>
  </w:style>
  <w:style w:styleId="style30" w:type="character">
    <w:name w:val="ListLabel 14"/>
    <w:next w:val="style30"/>
    <w:rPr>
      <w:rFonts w:cs="Symbol"/>
    </w:rPr>
  </w:style>
  <w:style w:styleId="style31" w:type="character">
    <w:name w:val="ListLabel 15"/>
    <w:next w:val="style31"/>
    <w:rPr>
      <w:rFonts w:cs="Courier New"/>
    </w:rPr>
  </w:style>
  <w:style w:styleId="style32" w:type="character">
    <w:name w:val="ListLabel 16"/>
    <w:next w:val="style32"/>
    <w:rPr>
      <w:rFonts w:cs="Wingdings"/>
    </w:rPr>
  </w:style>
  <w:style w:styleId="style33" w:type="character">
    <w:name w:val="ListLabel 17"/>
    <w:next w:val="style33"/>
    <w:rPr>
      <w:rFonts w:cs="Symbol"/>
    </w:rPr>
  </w:style>
  <w:style w:styleId="style34" w:type="character">
    <w:name w:val="ListLabel 18"/>
    <w:next w:val="style34"/>
    <w:rPr>
      <w:rFonts w:cs="Courier New"/>
    </w:rPr>
  </w:style>
  <w:style w:styleId="style35" w:type="character">
    <w:name w:val="ListLabel 19"/>
    <w:next w:val="style35"/>
    <w:rPr>
      <w:rFonts w:cs="Wingdings"/>
    </w:rPr>
  </w:style>
  <w:style w:styleId="style36" w:type="character">
    <w:name w:val="ListLabel 20"/>
    <w:next w:val="style36"/>
    <w:rPr>
      <w:rFonts w:cs="Symbol"/>
    </w:rPr>
  </w:style>
  <w:style w:styleId="style37" w:type="character">
    <w:name w:val="ListLabel 21"/>
    <w:next w:val="style37"/>
    <w:rPr>
      <w:rFonts w:cs="Courier New"/>
    </w:rPr>
  </w:style>
  <w:style w:styleId="style38" w:type="character">
    <w:name w:val="ListLabel 22"/>
    <w:next w:val="style38"/>
    <w:rPr>
      <w:rFonts w:cs="Wingdings"/>
    </w:rPr>
  </w:style>
  <w:style w:styleId="style39" w:type="paragraph">
    <w:name w:val="Заголовок"/>
    <w:basedOn w:val="style0"/>
    <w:next w:val="style4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40" w:type="paragraph">
    <w:name w:val="Основной текст"/>
    <w:basedOn w:val="style0"/>
    <w:next w:val="style40"/>
    <w:pPr>
      <w:spacing w:after="120" w:before="0"/>
      <w:contextualSpacing w:val="false"/>
    </w:pPr>
    <w:rPr/>
  </w:style>
  <w:style w:styleId="style41" w:type="paragraph">
    <w:name w:val="Список"/>
    <w:basedOn w:val="style40"/>
    <w:next w:val="style41"/>
    <w:pPr/>
    <w:rPr>
      <w:rFonts w:cs="Mangal"/>
    </w:rPr>
  </w:style>
  <w:style w:styleId="style42" w:type="paragraph">
    <w:name w:val="Название"/>
    <w:basedOn w:val="style0"/>
    <w:next w:val="style4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3" w:type="paragraph">
    <w:name w:val="Указатель"/>
    <w:basedOn w:val="style0"/>
    <w:next w:val="style43"/>
    <w:pPr>
      <w:suppressLineNumbers/>
    </w:pPr>
    <w:rPr>
      <w:rFonts w:cs="Mangal"/>
    </w:rPr>
  </w:style>
  <w:style w:styleId="style44" w:type="paragraph">
    <w:name w:val="Normal (Web)"/>
    <w:basedOn w:val="style0"/>
    <w:next w:val="style44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45" w:type="paragraph">
    <w:name w:val="List Paragraph"/>
    <w:basedOn w:val="style0"/>
    <w:next w:val="style45"/>
    <w:pPr>
      <w:spacing w:after="0" w:before="0" w:line="100" w:lineRule="atLeast"/>
      <w:ind w:hanging="0" w:left="720" w:right="0"/>
      <w:contextualSpacing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46" w:type="paragraph">
    <w:name w:val="s_1"/>
    <w:basedOn w:val="style0"/>
    <w:next w:val="style46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47" w:type="paragraph">
    <w:name w:val="No Spacing"/>
    <w:next w:val="style47"/>
    <w:pPr>
      <w:widowControl/>
      <w:suppressAutoHyphens w:val="true"/>
      <w:spacing w:after="0" w:before="0" w:line="100" w:lineRule="atLeast"/>
      <w:contextualSpacing w:val="false"/>
    </w:pPr>
    <w:rPr>
      <w:rFonts w:ascii="Calibri" w:cs="Times New Roman" w:eastAsia="Times New Roman" w:hAnsi="Calibri"/>
      <w:color w:val="00000A"/>
      <w:sz w:val="22"/>
      <w:szCs w:val="22"/>
      <w:lang w:bidi="ar-SA" w:eastAsia="ru-RU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2019-09-11T15:17:00.00Z</dcterms:created>
  <dc:creator>Пользователь Windows</dc:creator>
  <cp:lastModifiedBy>Жанна</cp:lastModifiedBy>
  <dcterms:modified xsi:type="dcterms:W3CDTF">2019-09-15T10:31:00.00Z</dcterms:modified>
  <cp:revision>2</cp:revision>
</cp:coreProperties>
</file>