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numbering.xml" ContentType="application/vnd.openxmlformats-officedocument.wordprocessingml.numbering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body>
    <w:p>
      <w:pPr>
        <w:ind w:firstLine="709"/>
        <w:jc w:val="center"/>
        <w:rPr>
          <w:b/>
          <w:rtl w:val="off"/>
        </w:rPr>
      </w:pPr>
      <w:r>
        <w:rPr>
          <w:b/>
          <w:rtl w:val="off"/>
        </w:rPr>
        <w:drawing>
          <wp:inline distT="0" distB="0" distL="0" distR="0">
            <wp:extent cx="9251950" cy="6544945"/>
            <wp:effectExtent l="0" t="0" r="0" b="0"/>
            <wp:docPr id="1025" name="shape1025" hidden="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이미지"/>
                    <pic:cNvPicPr preferRelativeResize="1"/>
                  </pic:nvPicPr>
                  <pic:blipFill>
                    <a:blip r:embed="rId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251950" cy="654494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ind w:firstLine="709"/>
        <w:jc w:val="center"/>
      </w:pPr>
      <w:r>
        <w:rPr>
          <w:b/>
        </w:rPr>
        <w:t>Нормативная база</w:t>
      </w:r>
      <w:r>
        <w:t xml:space="preserve"> </w:t>
      </w:r>
      <w:r>
        <w:rPr>
          <w:b/>
        </w:rPr>
        <w:t>и УМК</w:t>
      </w:r>
    </w:p>
    <w:p>
      <w:pPr>
        <w:ind w:firstLine="709"/>
        <w:jc w:val="center"/>
        <w:rPr>
          <w:szCs w:val="24"/>
          <w:rtl w:val="off"/>
        </w:rPr>
      </w:pPr>
    </w:p>
    <w:p>
      <w:pPr>
        <w:ind w:firstLine="709"/>
        <w:jc w:val="both"/>
        <w:rPr>
          <w:szCs w:val="24"/>
        </w:rPr>
      </w:pPr>
      <w:r>
        <w:rPr>
          <w:szCs w:val="24"/>
        </w:rPr>
        <w:t>Программа курса  составлена на основе:</w:t>
      </w:r>
    </w:p>
    <w:p>
      <w:pPr>
        <w:pStyle w:val="af3"/>
        <w:ind w:left="0" w:firstLine="0"/>
        <w:jc w:val="both"/>
        <w:numPr>
          <w:ilvl w:val="0"/>
          <w:numId w:val="1"/>
        </w:numPr>
        <w:rPr>
          <w:lang w:val="ru-RU"/>
          <w:rFonts w:ascii="Times New Roman" w:hAnsi="Times New Roman" w:cs="Times New Roman"/>
          <w:sz w:val="24"/>
          <w:szCs w:val="24"/>
        </w:rPr>
      </w:pPr>
      <w:r>
        <w:rPr>
          <w:lang w:val="ru-RU"/>
          <w:rFonts w:ascii="Times New Roman" w:hAnsi="Times New Roman" w:cs="Times New Roman"/>
          <w:sz w:val="24"/>
          <w:szCs w:val="24"/>
        </w:rPr>
        <w:t>Закона РФ «Об образовании в Российской Федерации» от 29 декабря 2012 года № 273- ФЗ;</w:t>
      </w:r>
    </w:p>
    <w:p>
      <w:pPr>
        <w:pStyle w:val="af3"/>
        <w:ind w:left="0" w:firstLine="0"/>
        <w:jc w:val="both"/>
        <w:numPr>
          <w:ilvl w:val="0"/>
          <w:numId w:val="2"/>
        </w:numPr>
        <w:rPr>
          <w:lang w:val="ru-RU"/>
          <w:rFonts w:ascii="Times New Roman" w:hAnsi="Times New Roman" w:cs="Times New Roman"/>
          <w:sz w:val="24"/>
          <w:szCs w:val="24"/>
        </w:rPr>
      </w:pPr>
      <w:r>
        <w:rPr>
          <w:lang w:val="ru-RU"/>
          <w:rFonts w:ascii="Times New Roman" w:hAnsi="Times New Roman" w:cs="Times New Roman"/>
          <w:sz w:val="24"/>
          <w:szCs w:val="24"/>
        </w:rPr>
        <w:t>Порядка 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основного, общего и среднего общего образования (утвержден приказом Минобрнауки России от 30.08.2013 № 1015;</w:t>
      </w:r>
    </w:p>
    <w:p>
      <w:pPr>
        <w:pStyle w:val="af3"/>
        <w:ind w:left="0" w:firstLine="0"/>
        <w:jc w:val="both"/>
        <w:numPr>
          <w:ilvl w:val="0"/>
          <w:numId w:val="2"/>
        </w:numPr>
        <w:rPr>
          <w:lang w:val="ru-RU"/>
          <w:rFonts w:ascii="Times New Roman" w:hAnsi="Times New Roman" w:cs="Times New Roman"/>
          <w:sz w:val="24"/>
          <w:szCs w:val="24"/>
        </w:rPr>
      </w:pPr>
      <w:r>
        <w:rPr>
          <w:lang w:val="ru-RU"/>
          <w:rFonts w:ascii="Times New Roman" w:hAnsi="Times New Roman" w:cs="Times New Roman"/>
          <w:sz w:val="24"/>
          <w:szCs w:val="24"/>
        </w:rPr>
        <w:t>Федерального государственного образовательного стандарта основного общего образования;</w:t>
      </w:r>
    </w:p>
    <w:p>
      <w:pPr>
        <w:pStyle w:val="af3"/>
        <w:ind w:left="0" w:firstLine="0"/>
        <w:jc w:val="both"/>
        <w:numPr>
          <w:ilvl w:val="0"/>
          <w:numId w:val="2"/>
        </w:numPr>
        <w:rPr>
          <w:lang w:val="ru-RU"/>
          <w:rFonts w:ascii="Times New Roman" w:hAnsi="Times New Roman" w:cs="Times New Roman"/>
          <w:sz w:val="24"/>
          <w:szCs w:val="24"/>
        </w:rPr>
      </w:pPr>
      <w:r>
        <w:rPr>
          <w:lang w:val="ru-RU"/>
          <w:rFonts w:ascii="Times New Roman" w:hAnsi="Times New Roman" w:cs="Times New Roman"/>
          <w:sz w:val="24"/>
          <w:szCs w:val="24"/>
        </w:rPr>
        <w:t>Приказа Минобрнауки России от 17 декабря 2010г. № 1897 «Об утверждении федерального государственного образовательного стандарта основного общего образования»;</w:t>
      </w:r>
    </w:p>
    <w:p>
      <w:pPr>
        <w:pStyle w:val="af3"/>
        <w:ind w:left="0" w:firstLine="0"/>
        <w:jc w:val="both"/>
        <w:numPr>
          <w:ilvl w:val="0"/>
          <w:numId w:val="2"/>
        </w:numPr>
        <w:rPr>
          <w:lang w:val="ru-RU"/>
          <w:rFonts w:ascii="Times New Roman" w:hAnsi="Times New Roman" w:cs="Times New Roman"/>
          <w:sz w:val="24"/>
          <w:szCs w:val="24"/>
        </w:rPr>
      </w:pPr>
      <w:r>
        <w:rPr>
          <w:lang w:val="ru-RU"/>
          <w:rFonts w:ascii="Times New Roman" w:hAnsi="Times New Roman" w:cs="Times New Roman"/>
          <w:sz w:val="24"/>
          <w:szCs w:val="24"/>
          <w:shd w:val="clear" w:color="auto" w:fill="FFFFFF"/>
        </w:rPr>
        <w:t xml:space="preserve">Приказа </w:t>
      </w:r>
      <w:r>
        <w:rPr>
          <w:rStyle w:val="apple-converted-space"/>
          <w:rFonts w:ascii="Times New Roman" w:eastAsiaTheme="majorEastAsia" w:hAnsi="Times New Roman" w:cs="Times New Roman"/>
          <w:sz w:val="24"/>
          <w:szCs w:val="24"/>
          <w:shd w:val="clear" w:color="auto" w:fill="FFFFFF"/>
        </w:rPr>
        <w:t> </w:t>
      </w:r>
      <w:r>
        <w:rPr>
          <w:lang w:val="ru-RU"/>
          <w:rFonts w:ascii="Times New Roman" w:hAnsi="Times New Roman" w:cs="Times New Roman"/>
          <w:sz w:val="24"/>
          <w:szCs w:val="24"/>
          <w:shd w:val="clear" w:color="auto" w:fill="FFFFFF"/>
        </w:rPr>
        <w:t xml:space="preserve">Минобразования РФ от 5 марта 2004 г.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N</w:t>
      </w:r>
      <w:r>
        <w:rPr>
          <w:lang w:val="ru-RU"/>
          <w:rFonts w:ascii="Times New Roman" w:hAnsi="Times New Roman" w:cs="Times New Roman"/>
          <w:sz w:val="24"/>
          <w:szCs w:val="24"/>
          <w:shd w:val="clear" w:color="auto" w:fill="FFFFFF"/>
        </w:rPr>
        <w:t xml:space="preserve"> 1089 "Об утверждении федерального компонента</w:t>
      </w:r>
      <w:r>
        <w:rPr>
          <w:rStyle w:val="apple-converted-space"/>
          <w:rFonts w:ascii="Times New Roman" w:eastAsiaTheme="majorEastAsia" w:hAnsi="Times New Roman" w:cs="Times New Roman"/>
          <w:sz w:val="24"/>
          <w:szCs w:val="24"/>
          <w:shd w:val="clear" w:color="auto" w:fill="FFFFFF"/>
        </w:rPr>
        <w:t> </w:t>
      </w:r>
      <w:r>
        <w:rPr>
          <w:lang w:val="ru-RU"/>
          <w:rFonts w:ascii="Times New Roman" w:hAnsi="Times New Roman" w:cs="Times New Roman"/>
          <w:sz w:val="24"/>
          <w:szCs w:val="24"/>
          <w:shd w:val="clear" w:color="auto" w:fill="FFFFFF"/>
        </w:rPr>
        <w:t>государственных</w:t>
      </w:r>
      <w:r>
        <w:rPr>
          <w:rStyle w:val="apple-converted-space"/>
          <w:rFonts w:ascii="Times New Roman" w:eastAsiaTheme="majorEastAsia" w:hAnsi="Times New Roman" w:cs="Times New Roman"/>
          <w:sz w:val="24"/>
          <w:szCs w:val="24"/>
          <w:shd w:val="clear" w:color="auto" w:fill="FFFFFF"/>
        </w:rPr>
        <w:t> </w:t>
      </w:r>
      <w:r>
        <w:rPr>
          <w:lang w:val="ru-RU"/>
          <w:rFonts w:ascii="Times New Roman" w:hAnsi="Times New Roman" w:cs="Times New Roman"/>
          <w:sz w:val="24"/>
          <w:szCs w:val="24"/>
          <w:shd w:val="clear" w:color="auto" w:fill="FFFFFF"/>
        </w:rPr>
        <w:t>образовательных стандартов начального общего, основного общего и среднего (полного) общего образования"</w:t>
      </w:r>
      <w:r>
        <w:rPr>
          <w:rStyle w:val="apple-converted-space"/>
          <w:rFonts w:ascii="Times New Roman" w:eastAsiaTheme="majorEastAsia" w:hAnsi="Times New Roman" w:cs="Times New Roman"/>
          <w:sz w:val="24"/>
          <w:szCs w:val="24"/>
          <w:shd w:val="clear" w:color="auto" w:fill="FFFFFF"/>
        </w:rPr>
        <w:t> </w:t>
      </w:r>
    </w:p>
    <w:p>
      <w:pPr>
        <w:pStyle w:val="af3"/>
        <w:ind w:left="0" w:firstLine="0"/>
        <w:jc w:val="bot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lang w:val="ru-RU"/>
          <w:rFonts w:ascii="Times New Roman" w:hAnsi="Times New Roman" w:cs="Times New Roman"/>
          <w:sz w:val="24"/>
          <w:szCs w:val="24"/>
        </w:rPr>
        <w:t xml:space="preserve">Приказа Министерства образования и науки Российской Федерации от 31.12.2015г. № 1577 «О внесении изменений в федеральный государственный образовательный стандарт основного общего образования, утвержденный приказом Министерства образования и науки Российской Федерации от 17 декабря 2010г. </w:t>
      </w:r>
      <w:r>
        <w:rPr>
          <w:rFonts w:ascii="Times New Roman" w:hAnsi="Times New Roman" w:cs="Times New Roman"/>
          <w:sz w:val="24"/>
          <w:szCs w:val="24"/>
        </w:rPr>
        <w:t xml:space="preserve">№ 1897».   </w:t>
      </w:r>
    </w:p>
    <w:p>
      <w:pPr>
        <w:pStyle w:val="af3"/>
        <w:ind w:left="0" w:firstLine="0"/>
        <w:jc w:val="both"/>
        <w:numPr>
          <w:ilvl w:val="0"/>
          <w:numId w:val="1"/>
        </w:numPr>
        <w:rPr>
          <w:lang w:val="ru-RU"/>
          <w:rFonts w:ascii="Times New Roman" w:hAnsi="Times New Roman" w:cs="Times New Roman"/>
          <w:sz w:val="24"/>
          <w:szCs w:val="24"/>
        </w:rPr>
      </w:pPr>
      <w:r>
        <w:rPr>
          <w:lang w:val="ru-RU"/>
          <w:rFonts w:ascii="Times New Roman" w:hAnsi="Times New Roman" w:cs="Times New Roman"/>
          <w:sz w:val="24"/>
          <w:szCs w:val="24"/>
        </w:rPr>
        <w:t xml:space="preserve">Приказа  Минобрнауки России от 07.06.2017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lang w:val="ru-RU"/>
          <w:rFonts w:ascii="Times New Roman" w:hAnsi="Times New Roman" w:cs="Times New Roman"/>
          <w:sz w:val="24"/>
          <w:szCs w:val="24"/>
        </w:rPr>
        <w:t xml:space="preserve"> 506 "О внесении изменений в федеральный компонент государственных образовательных стандартов начального общего, основного общего и среднего (полного) общего образования, утвержденный приказом Министерства образования Российской Федерации от 5 марта 2004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lang w:val="ru-RU"/>
          <w:rFonts w:ascii="Times New Roman" w:hAnsi="Times New Roman" w:cs="Times New Roman"/>
          <w:sz w:val="24"/>
          <w:szCs w:val="24"/>
        </w:rPr>
        <w:t xml:space="preserve"> 1089"  </w:t>
      </w:r>
      <w:bookmarkStart w:id="1" w:name="l0"/>
      <w:bookmarkEnd w:id="1"/>
    </w:p>
    <w:p>
      <w:pPr>
        <w:pStyle w:val="af3"/>
        <w:ind w:left="0" w:firstLine="0"/>
        <w:jc w:val="both"/>
        <w:numPr>
          <w:ilvl w:val="0"/>
          <w:numId w:val="1"/>
        </w:numPr>
        <w:rPr>
          <w:lang w:val="ru-RU"/>
          <w:rFonts w:ascii="Times New Roman" w:hAnsi="Times New Roman" w:cs="Times New Roman"/>
          <w:sz w:val="24"/>
          <w:szCs w:val="24"/>
        </w:rPr>
      </w:pPr>
      <w:r>
        <w:rPr>
          <w:lang w:val="ru-RU"/>
          <w:rFonts w:ascii="Times New Roman" w:hAnsi="Times New Roman" w:cs="Times New Roman"/>
          <w:sz w:val="24"/>
          <w:szCs w:val="24"/>
        </w:rPr>
        <w:t>Устава муниципального автономного общеобразовательного учреждения Бегишевская средняя общеобразовательная школа;</w:t>
      </w:r>
    </w:p>
    <w:p>
      <w:pPr>
        <w:pStyle w:val="af3"/>
        <w:ind w:left="0" w:firstLine="0"/>
        <w:jc w:val="both"/>
        <w:numPr>
          <w:ilvl w:val="0"/>
          <w:numId w:val="1"/>
        </w:numPr>
        <w:rPr>
          <w:lang w:val="ru-RU"/>
          <w:rFonts w:ascii="Times New Roman" w:hAnsi="Times New Roman" w:cs="Times New Roman"/>
          <w:sz w:val="24"/>
          <w:szCs w:val="24"/>
        </w:rPr>
      </w:pPr>
      <w:r>
        <w:rPr>
          <w:lang w:val="ru-RU"/>
          <w:rFonts w:ascii="Times New Roman" w:hAnsi="Times New Roman" w:cs="Times New Roman"/>
          <w:sz w:val="24"/>
          <w:szCs w:val="24"/>
        </w:rPr>
        <w:t>Учебного плана муниципального автономного общеобразовательного учреждения Бегишевская средняя общеобразовательная школа</w:t>
      </w:r>
    </w:p>
    <w:p>
      <w:pPr>
        <w:pStyle w:val="af3"/>
        <w:ind w:left="0" w:firstLine="0"/>
        <w:jc w:val="bot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lang w:val="ru-RU"/>
          <w:rFonts w:ascii="Times New Roman" w:hAnsi="Times New Roman" w:cs="Times New Roman"/>
          <w:sz w:val="24"/>
          <w:szCs w:val="24"/>
        </w:rPr>
        <w:t xml:space="preserve">ФГОС образования обучающихся с умственной отсталостью </w:t>
      </w:r>
      <w:r>
        <w:rPr>
          <w:rFonts w:ascii="Times New Roman" w:hAnsi="Times New Roman" w:cs="Times New Roman"/>
          <w:sz w:val="24"/>
          <w:szCs w:val="24"/>
        </w:rPr>
        <w:t>(интеллектуальными нарушениями) от 19.12.2014 г. № 1599.</w:t>
      </w:r>
    </w:p>
    <w:p>
      <w:pPr>
        <w:pStyle w:val="af3"/>
        <w:ind w:left="0" w:firstLine="0"/>
        <w:jc w:val="bot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lang w:val="ru-RU"/>
          <w:rFonts w:ascii="Times New Roman" w:hAnsi="Times New Roman" w:cs="Times New Roman"/>
          <w:sz w:val="24"/>
          <w:szCs w:val="24"/>
        </w:rPr>
        <w:t>Адаптированной основной общеобразовательной программы образования обучающихся с умеренной, тяжёлой и глубокой умственной отсталостью</w:t>
      </w:r>
      <w:r>
        <w:rPr>
          <w:lang w:val="ru-RU"/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(интеллектуальными нарушениями) (Вариант2).</w:t>
      </w:r>
    </w:p>
    <w:p>
      <w:pPr>
        <w:jc w:val="both"/>
      </w:pPr>
      <w:r>
        <w:rPr>
          <w:b/>
          <w:bCs/>
        </w:rPr>
        <w:t xml:space="preserve">Цель: </w:t>
      </w:r>
      <w:r>
        <w:t>дать ряд бытовых навыков детям с умеренной и тяжелой, глубокой умственной отсталостью, ТМНР, обучить основам швейного дела с учетом возможностей и особенностей обучающихся.</w:t>
      </w:r>
    </w:p>
    <w:p>
      <w:pPr>
        <w:jc w:val="both"/>
        <w:rPr>
          <w:b/>
          <w:bCs/>
        </w:rPr>
      </w:pPr>
      <w:r>
        <w:rPr>
          <w:b/>
          <w:bCs/>
        </w:rPr>
        <w:t>Задачи:</w:t>
      </w:r>
    </w:p>
    <w:p>
      <w:pPr>
        <w:jc w:val="both"/>
      </w:pPr>
      <w:r>
        <w:t>Учить элементарным приемам профильного труда и приемам применять полученные знания в быту;</w:t>
      </w:r>
    </w:p>
    <w:p>
      <w:pPr>
        <w:jc w:val="both"/>
      </w:pPr>
      <w:r>
        <w:t>Формировать у школьников интерес и положительное отношение к трудовым навыкам;</w:t>
      </w:r>
    </w:p>
    <w:p>
      <w:pPr>
        <w:jc w:val="both"/>
      </w:pPr>
      <w:r>
        <w:t>Развивать стремление действовать совместно в группах и самостоятельно;</w:t>
      </w:r>
    </w:p>
    <w:p>
      <w:pPr>
        <w:jc w:val="both"/>
      </w:pPr>
      <w:r>
        <w:t>Учить бережно и осторожно работать с инструментами и текстильными материалами.</w:t>
      </w:r>
    </w:p>
    <w:p>
      <w:pPr>
        <w:jc w:val="both"/>
      </w:pPr>
      <w:r>
        <w:t xml:space="preserve">   Обучение труду опирается на умения и навыки, сформированные у обучающихся в ходе занятий по предметно-практической деятельности, и нацелено на освоение доступных технологий изготовления продукции. Важно формирование мотивации трудовой деятельности, развитие интереса к разным видам доступной трудовой деятельности, положительное отношение к результатам своего труда. Детей знакомят с различными материалами и инструментами, со специальным оборудованием, учат соблюдать технику безопасности в ходе трудового процесса.</w:t>
      </w:r>
    </w:p>
    <w:p>
      <w:pPr>
        <w:ind w:leftChars="0" w:left="0"/>
        <w:jc w:val="both"/>
        <w:spacing w:after="0" w:line="0" w:lineRule="atLeast"/>
        <w:rPr>
          <w:rFonts w:ascii="Times New Roman" w:eastAsia="Times New Roman" w:hAnsi="Times New Roman"/>
          <w:b/>
          <w:sz w:val="24"/>
          <w:rtl w:val="off"/>
        </w:rPr>
      </w:pPr>
    </w:p>
    <w:p>
      <w:pPr>
        <w:ind w:leftChars="0" w:left="0"/>
        <w:jc w:val="both"/>
        <w:spacing w:after="0" w:line="0" w:lineRule="atLeast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 xml:space="preserve">Критерии и нормы оценки достижения планируемых результатов освоения программы учебного предмета </w:t>
      </w:r>
    </w:p>
    <w:p>
      <w:pPr>
        <w:ind w:leftChars="0" w:left="0"/>
        <w:jc w:val="both"/>
        <w:spacing w:after="0" w:line="0" w:lineRule="atLeas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Оценка личностных результатов предполагает оценку продвижения ребенка в овладении социальными (жизненными) компетенциями. </w:t>
      </w:r>
      <w:r>
        <w:rPr>
          <w:rFonts w:ascii="Times New Roman" w:eastAsia="Times New Roman" w:hAnsi="Times New Roman"/>
          <w:color w:val="000000"/>
          <w:sz w:val="24"/>
        </w:rPr>
        <w:t xml:space="preserve">Во время обучения  целесообразно всячески поощрять и стимулировать работу учеников, используя только качественную оценку. </w:t>
      </w:r>
      <w:r>
        <w:rPr>
          <w:rFonts w:ascii="Times New Roman" w:eastAsia="Times New Roman" w:hAnsi="Times New Roman"/>
          <w:i/>
          <w:sz w:val="24"/>
        </w:rPr>
        <w:t>Текущая</w:t>
      </w:r>
      <w:r>
        <w:rPr>
          <w:rFonts w:ascii="Times New Roman" w:eastAsia="Times New Roman" w:hAnsi="Times New Roman"/>
          <w:sz w:val="24"/>
        </w:rPr>
        <w:t xml:space="preserve"> аттестация обучающихся включает в себя </w:t>
      </w:r>
      <w:r>
        <w:rPr>
          <w:rFonts w:ascii="Times New Roman" w:eastAsia="Times New Roman" w:hAnsi="Times New Roman"/>
          <w:b/>
          <w:bCs/>
          <w:sz w:val="24"/>
        </w:rPr>
        <w:t xml:space="preserve">полугодовое оценивание </w:t>
      </w:r>
      <w:r>
        <w:rPr>
          <w:rFonts w:ascii="Times New Roman" w:eastAsia="Times New Roman" w:hAnsi="Times New Roman"/>
          <w:sz w:val="24"/>
        </w:rPr>
        <w:t xml:space="preserve">результатов освоения СИПР в части данной предметной компетенции, разработанной на основе АООП образовательной организации. </w:t>
      </w:r>
      <w:r>
        <w:rPr>
          <w:rFonts w:ascii="Times New Roman" w:eastAsia="Times New Roman" w:hAnsi="Times New Roman"/>
          <w:i/>
          <w:sz w:val="24"/>
        </w:rPr>
        <w:t>Промежуточная</w:t>
      </w:r>
      <w:r>
        <w:rPr>
          <w:rFonts w:ascii="Times New Roman" w:eastAsia="Times New Roman" w:hAnsi="Times New Roman"/>
          <w:sz w:val="24"/>
        </w:rPr>
        <w:t xml:space="preserve"> (годовая) аттестация представляет собой оценку результатов освоения СИПР в части данной предметной компетенции и развития жизненных компетенций ребёнка </w:t>
      </w:r>
      <w:r>
        <w:rPr>
          <w:rFonts w:ascii="Times New Roman" w:eastAsia="Times New Roman" w:hAnsi="Times New Roman"/>
          <w:b/>
          <w:bCs/>
          <w:sz w:val="24"/>
        </w:rPr>
        <w:t xml:space="preserve">по итогам учебного года. </w:t>
      </w:r>
      <w:r>
        <w:rPr>
          <w:rFonts w:ascii="Times New Roman" w:eastAsia="Times New Roman" w:hAnsi="Times New Roman"/>
          <w:sz w:val="24"/>
        </w:rPr>
        <w:t xml:space="preserve"> </w:t>
      </w:r>
    </w:p>
    <w:p>
      <w:pPr>
        <w:pStyle w:val="affe"/>
        <w:jc w:val="both"/>
        <w:shd w:val="clear" w:color="auto" w:fill="FFFFFF"/>
        <w:spacing w:after="0" w:afterAutospacing="0" w:before="0" w:beforeAutospacing="0" w:line="0" w:lineRule="atLeast"/>
      </w:pPr>
      <w:r>
        <w:t>   Каждый из перечисленных видов контроля может быть проведён с использованием следующих форм:</w:t>
      </w:r>
    </w:p>
    <w:p>
      <w:pPr>
        <w:pStyle w:val="affe"/>
        <w:jc w:val="both"/>
        <w:shd w:val="clear" w:color="auto" w:fill="FFFFFF"/>
        <w:spacing w:after="0" w:afterAutospacing="0" w:before="0" w:beforeAutospacing="0" w:line="0" w:lineRule="atLeast"/>
      </w:pPr>
      <w:r>
        <w:t>- устная (беседа, викторины);</w:t>
      </w:r>
      <w:r>
        <w:rPr>
          <w:rtl w:val="off"/>
        </w:rPr>
        <w:t xml:space="preserve"> </w:t>
      </w:r>
      <w:r>
        <w:t>- письменная (контрольная работа, тестирование);- практическая (упражнения, художественно-творческие задания, индивидуальные карточки-задания</w:t>
      </w:r>
      <w:r>
        <w:rPr>
          <w:rtl w:val="off"/>
        </w:rPr>
        <w:t>, игра</w:t>
      </w:r>
      <w:r>
        <w:t>).</w:t>
      </w:r>
    </w:p>
    <w:p>
      <w:pPr>
        <w:pStyle w:val="affe"/>
        <w:jc w:val="both"/>
        <w:shd w:val="clear" w:color="auto" w:fill="FFFFFF"/>
        <w:spacing w:after="0" w:afterAutospacing="0" w:before="0" w:beforeAutospacing="0" w:line="0" w:lineRule="atLeast"/>
        <w:rPr>
          <w:color w:val="FF0000"/>
        </w:rPr>
      </w:pPr>
      <w:r>
        <w:rPr>
          <w:color w:val="FF0000"/>
        </w:rPr>
        <w:t> </w:t>
      </w:r>
    </w:p>
    <w:p>
      <w:pPr>
        <w:ind w:leftChars="0" w:left="0"/>
        <w:jc w:val="both"/>
        <w:spacing w:after="0" w:line="0" w:lineRule="atLeast"/>
        <w:rPr>
          <w:rFonts w:ascii="Times New Roman" w:eastAsia="Times New Roman" w:hAnsi="Times New Roman" w:hint="default"/>
          <w:rtl w:val="off"/>
        </w:rPr>
      </w:pPr>
    </w:p>
    <w:p>
      <w:pPr>
        <w:ind w:leftChars="0" w:left="0"/>
        <w:jc w:val="both"/>
        <w:spacing w:after="0" w:line="0" w:lineRule="atLeast"/>
        <w:rPr>
          <w:rFonts w:ascii="Times New Roman" w:eastAsia="Times New Roman" w:hAnsi="Times New Roman" w:hint="default"/>
        </w:rPr>
      </w:pPr>
    </w:p>
    <w:p>
      <w:pPr>
        <w:jc w:val="both"/>
      </w:pPr>
    </w:p>
    <w:p/>
    <w:sectPr>
      <w:pgSz w:w="16838" w:h="11906" w:orient="landscape"/>
      <w:pgMar w:top="793" w:right="1134" w:bottom="60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>
  <w:font w:name="Times New Roman">
    <w:panose1 w:val="02020603050405020304"/>
    <w:family w:val="roman"/>
    <w:charset w:val="cc"/>
    <w:notTrueType w:val="false"/>
    <w:sig w:usb0="E0002EFF" w:usb1="C000785B" w:usb2="00000009" w:usb3="00000001" w:csb0="400001FF" w:csb1="FFFF0000"/>
  </w:font>
  <w:font w:name="Symbol">
    <w:panose1 w:val="05050102010706020507"/>
    <w:family w:val="roman"/>
    <w:charset w:val="02"/>
    <w:notTrueType w:val="false"/>
    <w:sig w:usb0="00000001" w:usb1="00000001" w:usb2="00000001" w:usb3="00000001" w:csb0="80000000" w:csb1="00000001"/>
  </w:font>
  <w:font w:name="Courier New">
    <w:panose1 w:val="02070309020205020404"/>
    <w:family w:val="modern"/>
    <w:charset w:val="cc"/>
    <w:notTrueType w:val="false"/>
    <w:sig w:usb0="E0002EFF" w:usb1="C0007843" w:usb2="00000009" w:usb3="00000001" w:csb0="400001FF" w:csb1="FFFF0000"/>
  </w:font>
  <w:font w:name="Wingdings">
    <w:panose1 w:val="05000000000000000000"/>
    <w:family w:val="auto"/>
    <w:charset w:val="02"/>
    <w:notTrueType w:val="false"/>
    <w:sig w:usb0="00000001" w:usb1="00000001" w:usb2="00000001" w:usb3="00000001" w:csb0="80000000" w:csb1="00000001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14="http://schemas.microsoft.com/office/word/2010/wordml" xmlns:wne="http://schemas.microsoft.com/office/word/2006/wordml">
  <w:abstractNum w:abstractNumId="0">
    <w:nsid w:val="1a6001b7"/>
    <w:multiLevelType w:val="hybridMultilevel"/>
    <w:tmpl w:val="45543312"/>
    <w:lvl w:ilvl="0" w:tplc="4ed6ec7e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4190003">
      <w:start w:val="1"/>
      <w:numFmt w:val="bullet"/>
      <w:lvlText w:val="o"/>
      <w:lvlJc w:val="left"/>
      <w:pPr>
        <w:ind w:left="457" w:hanging="360"/>
      </w:pPr>
      <w:rPr>
        <w:rFonts w:ascii="Courier New" w:hAnsi="Courier New" w:cs="Courier New" w:hint="default"/>
      </w:rPr>
    </w:lvl>
    <w:lvl w:ilvl="2" w:tplc="4190005">
      <w:start w:val="1"/>
      <w:numFmt w:val="bullet"/>
      <w:lvlText w:val=""/>
      <w:lvlJc w:val="left"/>
      <w:pPr>
        <w:ind w:left="1177" w:hanging="360"/>
      </w:pPr>
      <w:rPr>
        <w:rFonts w:ascii="Wingdings" w:hAnsi="Wingdings" w:hint="default"/>
      </w:rPr>
    </w:lvl>
    <w:lvl w:ilvl="3" w:tplc="4190001">
      <w:start w:val="1"/>
      <w:numFmt w:val="bullet"/>
      <w:lvlText w:val=""/>
      <w:lvlJc w:val="left"/>
      <w:pPr>
        <w:ind w:left="1897" w:hanging="360"/>
      </w:pPr>
      <w:rPr>
        <w:rFonts w:ascii="Symbol" w:hAnsi="Symbol" w:hint="default"/>
      </w:rPr>
    </w:lvl>
    <w:lvl w:ilvl="4" w:tplc="4190003">
      <w:start w:val="1"/>
      <w:numFmt w:val="bullet"/>
      <w:lvlText w:val="o"/>
      <w:lvlJc w:val="left"/>
      <w:pPr>
        <w:ind w:left="2617" w:hanging="360"/>
      </w:pPr>
      <w:rPr>
        <w:rFonts w:ascii="Courier New" w:hAnsi="Courier New" w:cs="Courier New" w:hint="default"/>
      </w:rPr>
    </w:lvl>
    <w:lvl w:ilvl="5" w:tplc="4190005">
      <w:start w:val="1"/>
      <w:numFmt w:val="bullet"/>
      <w:lvlText w:val=""/>
      <w:lvlJc w:val="left"/>
      <w:pPr>
        <w:ind w:left="3337" w:hanging="360"/>
      </w:pPr>
      <w:rPr>
        <w:rFonts w:ascii="Wingdings" w:hAnsi="Wingdings" w:hint="default"/>
      </w:rPr>
    </w:lvl>
    <w:lvl w:ilvl="6" w:tplc="4190001">
      <w:start w:val="1"/>
      <w:numFmt w:val="bullet"/>
      <w:lvlText w:val=""/>
      <w:lvlJc w:val="left"/>
      <w:pPr>
        <w:ind w:left="4057" w:hanging="360"/>
      </w:pPr>
      <w:rPr>
        <w:rFonts w:ascii="Symbol" w:hAnsi="Symbol" w:hint="default"/>
      </w:rPr>
    </w:lvl>
    <w:lvl w:ilvl="7" w:tplc="4190003">
      <w:start w:val="1"/>
      <w:numFmt w:val="bullet"/>
      <w:lvlText w:val="o"/>
      <w:lvlJc w:val="left"/>
      <w:pPr>
        <w:ind w:left="4777" w:hanging="360"/>
      </w:pPr>
      <w:rPr>
        <w:rFonts w:ascii="Courier New" w:hAnsi="Courier New" w:cs="Courier New" w:hint="default"/>
      </w:rPr>
    </w:lvl>
    <w:lvl w:ilvl="8" w:tplc="4190005">
      <w:start w:val="1"/>
      <w:numFmt w:val="bullet"/>
      <w:lvlText w:val=""/>
      <w:lvlJc w:val="left"/>
      <w:pPr>
        <w:ind w:left="5497" w:hanging="360"/>
      </w:pPr>
      <w:rPr>
        <w:rFonts w:ascii="Wingdings" w:hAnsi="Wingdings" w:hint="default"/>
      </w:rPr>
    </w:lvl>
  </w:abstractNum>
  <w:abstractNum w:abstractNumId="1">
    <w:nsid w:val="7d5576c0"/>
    <w:multiLevelType w:val="hybridMultilevel"/>
    <w:tmpl w:val="dd2c6982"/>
    <w:lvl w:ilvl="0" w:tplc="41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419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4190005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419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419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4190005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419000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419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4190005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>
  <w:zoom w:percent="100"/>
  <w:removePersonalInformation/>
  <w:bordersDontSurroundHeader/>
  <w:bordersDontSurroundFooter/>
  <w:hideGrammaticalErrors/>
  <w:proofState w:spelling="clean" w:grammar="clean"/>
  <w:defaultTabStop w:val="708"/>
  <w:drawingGridHorizontalSpacing w:val="110"/>
  <w:drawingGridVerticalSpacing w:val="180"/>
  <w:displayHorizontalDrawingGridEvery w:val="2"/>
  <w:displayVerticalDrawingGridEvery w:val="1"/>
  <w:characterSpacingControl w:val="doNotCompress"/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 m:val="1"/>
    <m:lMargin m:val="0"/>
    <m:rMargin m:val="0"/>
    <m:defJc m:val="centerGroup"/>
    <m:wrapIndent m:val="1440"/>
    <m:wrapRight m:val="0"/>
    <m:intLim m:val="subSup"/>
    <m:naryLim m:val="undOvr"/>
    <m:interSp m:val="0"/>
    <m:intraSp m:val="0"/>
    <m:preSp m:val="0"/>
    <m:postSp m:val="0"/>
  </m:mathPr>
  <w:themeFontLang w:val="ru-RU" w:eastAsia="ko-KR" w:bidi="ar-SA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ru-RU" w:eastAsia="en-US" w:bidi="ar-SA"/>
        <w:rFonts w:asciiTheme="minorHAnsi" w:eastAsiaTheme="minorHAnsi" w:hAnsiTheme="minorHAnsi" w:cstheme="minorBidi"/>
        <w:sz w:val="22"/>
        <w:szCs w:val="22"/>
      </w:rPr>
    </w:rPrDefault>
    <w:pPrDefault>
      <w:pPr>
        <w:spacing w:after="200" w:line="276" w:lineRule="auto"/>
      </w:pPr>
    </w:pPrDefault>
  </w:docDefaults>
  <w:style w:type="paragraph" w:default="1" w:styleId="a1">
    <w:name w:val="Normal"/>
    <w:qFormat/>
    <w:pPr>
      <w:spacing w:after="0" w:line="240" w:lineRule="auto"/>
    </w:pPr>
    <w:rPr>
      <w:lang w:eastAsia="ru-RU"/>
      <w:rFonts w:ascii="Times New Roman" w:eastAsia="Times New Roman" w:hAnsi="Times New Roman" w:cs="Times New Roman"/>
      <w:sz w:val="24"/>
      <w:szCs w:val="20"/>
    </w:rPr>
  </w:style>
  <w:style w:type="character" w:default="1" w:styleId="a2">
    <w:name w:val="Default Paragraph Font"/>
    <w:semiHidden/>
    <w:unhideWhenUsed/>
  </w:style>
  <w:style w:type="table" w:default="1" w:styleId="a3">
    <w:name w:val="Normal Table"/>
    <w:qFormat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semiHidden/>
    <w:unhideWhenUsed/>
  </w:style>
  <w:style w:type="paragraph" w:styleId="af3">
    <w:name w:val="List Paragraph"/>
    <w:basedOn w:val="a1"/>
    <w:qFormat/>
    <w:pPr>
      <w:ind w:left="720" w:firstLine="360"/>
      <w:contextualSpacing/>
    </w:pPr>
    <w:rPr>
      <w:lang w:val="en-US" w:eastAsia="en-US" w:bidi="en-US"/>
      <w:rFonts w:asciiTheme="minorHAnsi" w:eastAsiaTheme="minorHAnsi" w:hAnsiTheme="minorHAnsi" w:cstheme="minorBidi"/>
      <w:sz w:val="22"/>
      <w:szCs w:val="22"/>
    </w:rPr>
  </w:style>
  <w:style w:type="paragraph" w:styleId="affe">
    <w:name w:val="Normal (Web)"/>
    <w:basedOn w:val="a1"/>
    <w:rPr>
      <w:rFonts w:ascii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fontTable" Target="fontTable.xml" /><Relationship Id="rId5" Type="http://schemas.openxmlformats.org/officeDocument/2006/relationships/webSettings" Target="webSettings.xml" /><Relationship Id="rId6" Type="http://schemas.openxmlformats.org/officeDocument/2006/relationships/numbering" Target="numbering.xml" /><Relationship Id="rId7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lastClr="000000" val="windowText"/>
      </a:dk1>
      <a:lt1>
        <a:sysClr lastClr="FFFFFF"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>
          <a:solidFill>
            <a:schemeClr val="phClr">
              <a:shade val="95000"/>
              <a:satMod val="104999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Word</Application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user</cp:lastModifiedBy>
  <cp:revision>1</cp:revision>
  <dcterms:created xsi:type="dcterms:W3CDTF">2021-12-01T10:52:00Z</dcterms:created>
  <dcterms:modified xsi:type="dcterms:W3CDTF">2021-12-04T10:30:22Z</dcterms:modified>
  <cp:version>0900.0100.01</cp:version>
</cp:coreProperties>
</file>