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numbering.xml" ContentType="application/vnd.openxmlformats-officedocument.wordprocessingml.numbering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pStyle w:val="af3"/>
        <w:ind w:left="0"/>
        <w:jc w:val="center"/>
        <w:spacing w:after="0" w:line="240" w:lineRule="atLeast"/>
        <w:rPr>
          <w:rFonts w:ascii="Times New Roman" w:eastAsia="Times New Roman" w:hAnsi="Times New Roman" w:cs="Times New Roman"/>
          <w:b/>
          <w:sz w:val="24"/>
          <w:szCs w:val="24"/>
          <w:rtl w:val="off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rtl w:val="off"/>
        </w:rPr>
        <w:drawing>
          <wp:inline distT="0" distB="0" distL="180" distR="180">
            <wp:extent cx="8531860" cy="6035675"/>
            <wp:effectExtent l="0" t="0" r="0" b="0"/>
            <wp:docPr id="1025" name="shape1025" hidden="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/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531860" cy="60356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af3"/>
        <w:ind w:left="0"/>
        <w:jc w:val="center"/>
        <w:spacing w:after="0" w:line="240" w:lineRule="atLeast"/>
        <w:rPr>
          <w:rFonts w:ascii="Times New Roman" w:eastAsia="Times New Roman" w:hAnsi="Times New Roman" w:cs="Times New Roman"/>
          <w:b/>
          <w:sz w:val="24"/>
          <w:szCs w:val="24"/>
          <w:rtl w:val="off"/>
        </w:rPr>
      </w:pPr>
    </w:p>
    <w:p>
      <w:pPr>
        <w:pStyle w:val="af3"/>
        <w:ind w:left="0"/>
        <w:jc w:val="center"/>
        <w:spacing w:after="0" w:line="240" w:lineRule="atLeast"/>
        <w:rPr>
          <w:rFonts w:ascii="Times New Roman" w:eastAsia="Times New Roman" w:hAnsi="Times New Roman" w:cs="Times New Roman"/>
          <w:b/>
          <w:sz w:val="24"/>
          <w:szCs w:val="24"/>
          <w:rtl w:val="off"/>
        </w:rPr>
      </w:pPr>
    </w:p>
    <w:p>
      <w:pPr>
        <w:pStyle w:val="af3"/>
        <w:ind w:left="0"/>
        <w:jc w:val="center"/>
        <w:spacing w:after="0" w:line="24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Нормативная база и УМК:</w:t>
      </w:r>
    </w:p>
    <w:p>
      <w:pPr>
        <w:pStyle w:val="aff8"/>
        <w:contextualSpacing/>
        <w:jc w:val="both"/>
        <w:numPr>
          <w:ilvl w:val="0"/>
          <w:numId w:val="1"/>
        </w:numPr>
        <w:spacing w:after="0" w:before="0"/>
        <w:rPr>
          <w:rFonts w:ascii="Times New Roman" w:eastAsia="Times New Roman" w:hAnsi="Times New Roman" w:hint="default"/>
          <w:b w:val="0"/>
          <w:bCs w:val="0"/>
          <w:i w:val="0"/>
          <w:iCs w:val="0"/>
          <w:sz w:val="24"/>
          <w:szCs w:val="24"/>
        </w:rPr>
      </w:pPr>
      <w:r>
        <w:rPr>
          <w:rFonts w:ascii="Times New Roman" w:eastAsia="Times New Roman" w:hAnsi="Times New Roman" w:hint="default"/>
          <w:b w:val="0"/>
          <w:bCs w:val="0"/>
          <w:i w:val="0"/>
          <w:iCs w:val="0"/>
          <w:sz w:val="24"/>
          <w:szCs w:val="24"/>
        </w:rPr>
        <w:t>Федеральный закон от 29.12.2012 года № 273-ФЗ «Об образовании в Российской федерации»;</w:t>
      </w:r>
    </w:p>
    <w:p>
      <w:pPr>
        <w:pStyle w:val="aff8"/>
        <w:contextualSpacing/>
        <w:jc w:val="both"/>
        <w:numPr>
          <w:ilvl w:val="0"/>
          <w:numId w:val="1"/>
        </w:numPr>
        <w:spacing w:after="0" w:before="0"/>
        <w:rPr>
          <w:rFonts w:ascii="Times New Roman" w:eastAsia="Times New Roman" w:hAnsi="Times New Roman" w:hint="default"/>
          <w:b w:val="0"/>
          <w:bCs w:val="0"/>
          <w:i w:val="0"/>
          <w:iCs w:val="0"/>
          <w:sz w:val="24"/>
          <w:szCs w:val="24"/>
        </w:rPr>
      </w:pPr>
      <w:r>
        <w:rPr>
          <w:rFonts w:ascii="Times New Roman" w:eastAsia="Times New Roman" w:hAnsi="Times New Roman" w:hint="default"/>
          <w:b w:val="0"/>
          <w:bCs w:val="0"/>
          <w:i w:val="0"/>
          <w:iCs w:val="0"/>
          <w:sz w:val="24"/>
          <w:szCs w:val="24"/>
        </w:rPr>
        <w:t xml:space="preserve">Закон </w:t>
      </w:r>
      <w:r>
        <w:rPr>
          <w:rFonts w:ascii="Times New Roman" w:eastAsia="Times New Roman" w:hAnsi="Times New Roman" w:hint="default"/>
          <w:b w:val="0"/>
          <w:bCs w:val="0"/>
          <w:i w:val="0"/>
          <w:iCs w:val="0"/>
          <w:sz w:val="24"/>
          <w:szCs w:val="24"/>
          <w:rtl w:val="off"/>
        </w:rPr>
        <w:t xml:space="preserve">Тюменской </w:t>
      </w:r>
      <w:r>
        <w:rPr>
          <w:rFonts w:ascii="Times New Roman" w:eastAsia="Times New Roman" w:hAnsi="Times New Roman" w:hint="default"/>
          <w:b w:val="0"/>
          <w:bCs w:val="0"/>
          <w:i w:val="0"/>
          <w:iCs w:val="0"/>
          <w:sz w:val="24"/>
          <w:szCs w:val="24"/>
        </w:rPr>
        <w:t xml:space="preserve">области № 1569-ОЗ от 18 июля 2013 года «О регулировании отношений в сфере образования на территории </w:t>
      </w:r>
      <w:r>
        <w:rPr>
          <w:rFonts w:ascii="Times New Roman" w:eastAsia="Times New Roman" w:hAnsi="Times New Roman" w:hint="default"/>
          <w:b w:val="0"/>
          <w:bCs w:val="0"/>
          <w:i w:val="0"/>
          <w:iCs w:val="0"/>
          <w:sz w:val="24"/>
          <w:szCs w:val="24"/>
          <w:rtl w:val="off"/>
        </w:rPr>
        <w:t>Тюменской</w:t>
      </w:r>
      <w:r>
        <w:rPr>
          <w:rFonts w:ascii="Times New Roman" w:eastAsia="Times New Roman" w:hAnsi="Times New Roman" w:hint="default"/>
          <w:b w:val="0"/>
          <w:bCs w:val="0"/>
          <w:i w:val="0"/>
          <w:iCs w:val="0"/>
          <w:sz w:val="24"/>
          <w:szCs w:val="24"/>
        </w:rPr>
        <w:t xml:space="preserve"> области», принят Постановлением Законодательного Собрания </w:t>
      </w:r>
      <w:r>
        <w:rPr>
          <w:rFonts w:ascii="Times New Roman" w:eastAsia="Times New Roman" w:hAnsi="Times New Roman" w:hint="default"/>
          <w:b w:val="0"/>
          <w:bCs w:val="0"/>
          <w:i w:val="0"/>
          <w:iCs w:val="0"/>
          <w:sz w:val="24"/>
          <w:szCs w:val="24"/>
          <w:rtl w:val="off"/>
        </w:rPr>
        <w:t>Тюменской</w:t>
      </w:r>
      <w:r>
        <w:rPr>
          <w:rFonts w:ascii="Times New Roman" w:eastAsia="Times New Roman" w:hAnsi="Times New Roman" w:hint="default"/>
          <w:b w:val="0"/>
          <w:bCs w:val="0"/>
          <w:i w:val="0"/>
          <w:iCs w:val="0"/>
          <w:sz w:val="24"/>
          <w:szCs w:val="24"/>
        </w:rPr>
        <w:t xml:space="preserve"> области от 11 июля 2013 года № 218;</w:t>
      </w:r>
    </w:p>
    <w:p>
      <w:pPr>
        <w:pStyle w:val="af3"/>
        <w:jc w:val="bot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 w:val="0"/>
          <w:bCs w:val="0"/>
          <w:i w:val="0"/>
          <w:iCs w:val="0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z w:val="24"/>
          <w:szCs w:val="24"/>
        </w:rPr>
        <w:t>Приказ Министерства образования и науки Российской Федерации от 17 декабря 2010 года № 1897 «Об утверждении и введении в действие федерального государственного образовательного стандарта основного общего образования» (в редакции от 31 декабря 2015 года № 1577);</w:t>
      </w:r>
    </w:p>
    <w:p>
      <w:pPr>
        <w:pStyle w:val="af3"/>
        <w:jc w:val="bot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 w:val="0"/>
          <w:bCs w:val="0"/>
          <w:i w:val="0"/>
          <w:iCs w:val="0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Постановление Главного государственного санитарного врача Российской Федерации от 29 декабря 2010г. № 189 «Об утверждении СанПиН 2.4.2.2821-10 «Санитарно- эпидемиологические требования к условиям и организации обучения в общеобразовательных учреждениях» в ред. Постановления Главного государственного санитарного врача РФ от 24.11. 2015 №81; </w:t>
      </w:r>
    </w:p>
    <w:p>
      <w:pPr>
        <w:pStyle w:val="aff8"/>
        <w:contextualSpacing/>
        <w:jc w:val="both"/>
        <w:numPr>
          <w:ilvl w:val="0"/>
          <w:numId w:val="1"/>
        </w:numPr>
        <w:spacing w:after="0" w:before="0"/>
        <w:rPr>
          <w:rFonts w:ascii="Times New Roman" w:eastAsia="Times New Roman" w:hAnsi="Times New Roman" w:hint="default"/>
          <w:b w:val="0"/>
          <w:bCs w:val="0"/>
          <w:i w:val="0"/>
          <w:iCs w:val="0"/>
          <w:sz w:val="24"/>
          <w:szCs w:val="24"/>
        </w:rPr>
      </w:pPr>
      <w:r>
        <w:rPr>
          <w:rFonts w:ascii="Times New Roman" w:eastAsia="Times New Roman" w:hAnsi="Times New Roman" w:hint="default"/>
          <w:b w:val="0"/>
          <w:bCs w:val="0"/>
          <w:i w:val="0"/>
          <w:iCs w:val="0"/>
          <w:color w:val="000000"/>
          <w:sz w:val="24"/>
          <w:szCs w:val="24"/>
          <w:shd w:val="clear" w:color="auto" w:fill="FFFFFF"/>
        </w:rPr>
        <w:t>Приказ Министерства образования и науки Российской Федерации от 30 августа 2013 г. №1015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>
      <w:pPr>
        <w:pStyle w:val="aff8"/>
        <w:contextualSpacing/>
        <w:jc w:val="both"/>
        <w:numPr>
          <w:ilvl w:val="0"/>
          <w:numId w:val="1"/>
        </w:numPr>
        <w:spacing w:after="0" w:before="0"/>
        <w:rPr>
          <w:rFonts w:ascii="Times New Roman" w:eastAsia="Times New Roman" w:hAnsi="Times New Roman" w:hint="default"/>
          <w:b w:val="0"/>
          <w:bCs w:val="0"/>
          <w:i w:val="0"/>
          <w:iCs w:val="0"/>
          <w:sz w:val="24"/>
          <w:szCs w:val="24"/>
        </w:rPr>
      </w:pPr>
      <w:r>
        <w:rPr>
          <w:rFonts w:ascii="Times New Roman" w:eastAsia="Times New Roman" w:hAnsi="Times New Roman" w:hint="default"/>
          <w:b w:val="0"/>
          <w:bCs w:val="0"/>
          <w:i w:val="0"/>
          <w:iCs w:val="0"/>
          <w:sz w:val="24"/>
          <w:szCs w:val="24"/>
        </w:rPr>
        <w:t>Примерная основная образовательная программа основного общего образования. Одобрена решением федерального учебно-методического объединения по общему образованию (протокол от 8.04.2015 №1\15);</w:t>
      </w:r>
    </w:p>
    <w:p>
      <w:pPr>
        <w:pStyle w:val="af3"/>
        <w:ind w:left="284" w:hanging="284"/>
        <w:jc w:val="left"/>
        <w:numPr>
          <w:ilvl w:val="0"/>
          <w:numId w:val="2"/>
        </w:numPr>
        <w:tabs>
          <w:tab w:val="left" w:pos="284"/>
        </w:tabs>
        <w:spacing w:after="0" w:line="24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rtl w:val="off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Устав </w:t>
      </w:r>
      <w:r>
        <w:rPr>
          <w:rFonts w:ascii="Times New Roman" w:eastAsia="Times New Roman" w:hAnsi="Times New Roman" w:cs="Times New Roman"/>
          <w:sz w:val="24"/>
          <w:szCs w:val="24"/>
          <w:rtl w:val="off"/>
        </w:rPr>
        <w:t xml:space="preserve">муниципального автономного общеобразовательного учреждения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Бегишевская </w:t>
      </w:r>
      <w:bookmarkStart w:id="1" w:name="_Hlk20887402"/>
      <w:r>
        <w:rPr>
          <w:rFonts w:ascii="Times New Roman" w:eastAsia="Times New Roman" w:hAnsi="Times New Roman" w:cs="Times New Roman"/>
          <w:sz w:val="24"/>
          <w:szCs w:val="24"/>
          <w:rtl w:val="off"/>
        </w:rPr>
        <w:t>средняя общеобразовательная школа;</w:t>
      </w:r>
    </w:p>
    <w:p>
      <w:pPr>
        <w:pStyle w:val="af3"/>
        <w:ind w:left="284" w:hanging="284"/>
        <w:jc w:val="both"/>
        <w:numPr>
          <w:ilvl w:val="0"/>
          <w:numId w:val="2"/>
        </w:numPr>
        <w:tabs>
          <w:tab w:val="left" w:pos="284"/>
        </w:tabs>
        <w:spacing w:after="0" w:line="24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rtl w:val="off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Учебный план основного общего образования </w:t>
      </w:r>
      <w:r>
        <w:rPr>
          <w:rFonts w:ascii="Times New Roman" w:eastAsia="Times New Roman" w:hAnsi="Times New Roman" w:cs="Times New Roman"/>
          <w:sz w:val="24"/>
          <w:szCs w:val="24"/>
          <w:rtl w:val="off"/>
        </w:rPr>
        <w:t xml:space="preserve">муниципального автономного общеобразовательного учреждения    </w:t>
      </w:r>
      <w:r>
        <w:rPr>
          <w:rFonts w:ascii="Times New Roman" w:eastAsia="Times New Roman" w:hAnsi="Times New Roman" w:cs="Times New Roman"/>
          <w:sz w:val="24"/>
          <w:szCs w:val="24"/>
        </w:rPr>
        <w:t>Бегишевск</w:t>
      </w:r>
      <w:r>
        <w:rPr>
          <w:rFonts w:ascii="Times New Roman" w:eastAsia="Times New Roman" w:hAnsi="Times New Roman" w:cs="Times New Roman"/>
          <w:sz w:val="24"/>
          <w:szCs w:val="24"/>
          <w:rtl w:val="off"/>
        </w:rPr>
        <w:t>ая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rtl w:val="off"/>
        </w:rPr>
        <w:t xml:space="preserve">средняя общеобразовательная школа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 20</w:t>
      </w:r>
      <w:r>
        <w:rPr>
          <w:rFonts w:ascii="Times New Roman" w:eastAsia="Times New Roman" w:hAnsi="Times New Roman" w:cs="Times New Roman"/>
          <w:sz w:val="24"/>
          <w:szCs w:val="24"/>
          <w:rtl w:val="off"/>
        </w:rPr>
        <w:t>21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-202</w:t>
      </w:r>
      <w:r>
        <w:rPr>
          <w:rFonts w:ascii="Times New Roman" w:eastAsia="Times New Roman" w:hAnsi="Times New Roman" w:cs="Times New Roman"/>
          <w:sz w:val="24"/>
          <w:szCs w:val="24"/>
          <w:rtl w:val="off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учебный год;</w:t>
      </w:r>
      <w:bookmarkEnd w:id="1"/>
    </w:p>
    <w:p>
      <w:pPr>
        <w:jc w:val="both"/>
        <w:spacing w:after="0" w:line="240" w:lineRule="atLeast"/>
        <w:rPr>
          <w:rFonts w:ascii="Times New Roman" w:eastAsia="Times New Roman" w:hAnsi="Times New Roman" w:hint="default"/>
          <w:sz w:val="26"/>
          <w:szCs w:val="26"/>
          <w:rtl w:val="off"/>
        </w:rPr>
      </w:pPr>
      <w:r>
        <w:rPr>
          <w:rFonts w:ascii="Times New Roman" w:eastAsia="Times New Roman" w:hAnsi="Times New Roman" w:hint="default"/>
          <w:sz w:val="22"/>
          <w:szCs w:val="22"/>
          <w:rtl w:val="off"/>
        </w:rPr>
        <w:t xml:space="preserve"> </w:t>
      </w:r>
      <w:r>
        <w:rPr>
          <w:lang w:eastAsia="ru-RU"/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hint="default"/>
          <w:b/>
          <w:sz w:val="24"/>
          <w:szCs w:val="24"/>
        </w:rPr>
        <w:t>Количество часов, отводимое на изучение предмета</w:t>
      </w:r>
      <w:r>
        <w:rPr>
          <w:rFonts w:ascii="Times New Roman" w:eastAsia="Times New Roman" w:hAnsi="Times New Roman" w:hint="default"/>
          <w:b/>
          <w:sz w:val="24"/>
          <w:szCs w:val="24"/>
          <w:rtl w:val="off"/>
        </w:rPr>
        <w:t>:</w:t>
      </w:r>
      <w:r>
        <w:rPr>
          <w:rFonts w:ascii="Times New Roman" w:eastAsia="Times New Roman" w:hAnsi="Times New Roman" w:hint="default"/>
          <w:sz w:val="26"/>
          <w:szCs w:val="26"/>
        </w:rPr>
        <w:t xml:space="preserve"> В соответствии с учебным планом школы на 20</w:t>
      </w:r>
      <w:r>
        <w:rPr>
          <w:rFonts w:ascii="Times New Roman" w:eastAsia="Times New Roman" w:hAnsi="Times New Roman" w:hint="default"/>
          <w:sz w:val="26"/>
          <w:szCs w:val="26"/>
          <w:rtl w:val="off"/>
        </w:rPr>
        <w:t xml:space="preserve">21 </w:t>
      </w:r>
      <w:r>
        <w:rPr>
          <w:rFonts w:ascii="Times New Roman" w:eastAsia="Times New Roman" w:hAnsi="Times New Roman" w:hint="default"/>
          <w:sz w:val="26"/>
          <w:szCs w:val="26"/>
        </w:rPr>
        <w:t>-202</w:t>
      </w:r>
      <w:r>
        <w:rPr>
          <w:rFonts w:ascii="Times New Roman" w:eastAsia="Times New Roman" w:hAnsi="Times New Roman" w:hint="default"/>
          <w:sz w:val="26"/>
          <w:szCs w:val="26"/>
          <w:rtl w:val="off"/>
        </w:rPr>
        <w:t>2</w:t>
      </w:r>
      <w:r>
        <w:rPr>
          <w:rFonts w:ascii="Times New Roman" w:eastAsia="Times New Roman" w:hAnsi="Times New Roman" w:hint="default"/>
          <w:sz w:val="26"/>
          <w:szCs w:val="26"/>
        </w:rPr>
        <w:t xml:space="preserve"> учебный год на изучение данной программы выделено: </w:t>
      </w:r>
      <w:r>
        <w:rPr>
          <w:rFonts w:ascii="Times New Roman" w:eastAsia="Times New Roman" w:hAnsi="Times New Roman" w:hint="default"/>
          <w:sz w:val="26"/>
          <w:szCs w:val="26"/>
          <w:rtl w:val="off"/>
        </w:rPr>
        <w:t xml:space="preserve">в 5 - 6 классе по </w:t>
      </w:r>
      <w:r>
        <w:rPr>
          <w:rFonts w:ascii="Times New Roman" w:eastAsia="Times New Roman" w:hAnsi="Times New Roman" w:hint="default"/>
          <w:sz w:val="26"/>
          <w:szCs w:val="26"/>
        </w:rPr>
        <w:t>68 ч.</w:t>
      </w:r>
      <w:r>
        <w:rPr>
          <w:rFonts w:ascii="Times New Roman" w:eastAsia="Times New Roman" w:hAnsi="Times New Roman" w:hint="default"/>
          <w:sz w:val="26"/>
          <w:szCs w:val="26"/>
          <w:rtl w:val="off"/>
        </w:rPr>
        <w:t xml:space="preserve"> ,</w:t>
      </w:r>
      <w:r>
        <w:rPr>
          <w:rFonts w:ascii="Times New Roman" w:eastAsia="Times New Roman" w:hAnsi="Times New Roman" w:hint="default"/>
          <w:sz w:val="26"/>
          <w:szCs w:val="26"/>
        </w:rPr>
        <w:t xml:space="preserve"> 2 ч. в неделю</w:t>
      </w:r>
      <w:r>
        <w:rPr>
          <w:rFonts w:ascii="Times New Roman" w:eastAsia="Times New Roman" w:hAnsi="Times New Roman" w:hint="default"/>
          <w:sz w:val="26"/>
          <w:szCs w:val="26"/>
          <w:rtl w:val="off"/>
        </w:rPr>
        <w:t>.</w:t>
      </w:r>
      <w:r>
        <w:rPr>
          <w:rFonts w:ascii="Times New Roman" w:eastAsia="Times New Roman" w:hAnsi="Times New Roman" w:hint="default"/>
          <w:sz w:val="26"/>
          <w:szCs w:val="26"/>
        </w:rPr>
        <w:t xml:space="preserve"> </w:t>
      </w:r>
    </w:p>
    <w:p>
      <w:pPr>
        <w:jc w:val="both"/>
        <w:shd w:val="clear" w:color="auto" w:fill="FFFFFF"/>
        <w:spacing w:after="0" w:line="240" w:lineRule="atLeast"/>
        <w:rPr>
          <w:lang w:eastAsia="ru-RU"/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lang w:eastAsia="ru-RU"/>
          <w:rFonts w:ascii="Times New Roman" w:eastAsia="Times New Roman" w:hAnsi="Times New Roman" w:cs="Times New Roman"/>
          <w:color w:val="000000"/>
          <w:sz w:val="24"/>
          <w:szCs w:val="24"/>
        </w:rPr>
        <w:t>На основании требований ФГОС второго поколения в содержании программы предполагается реализовать актуальные в настоящее время компетентностные, личностно - ориентированные, универсальные деятельностные подходы, которые определяют </w:t>
      </w:r>
      <w:r>
        <w:rPr>
          <w:lang w:eastAsia="ru-RU"/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 обучения:</w:t>
      </w:r>
    </w:p>
    <w:p>
      <w:pPr>
        <w:jc w:val="both"/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ознакомить учащихся с законами и закономерностями, техникой и технологическими процессами доминирующих сфер созидательной и преобразовательной деятельности человека; </w:t>
      </w:r>
    </w:p>
    <w:p>
      <w:pPr>
        <w:jc w:val="both"/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синергетически увязать в практической деятельности всё то, что учащиеся получили на уроках технологии и других предметов по предметнопреобразующей деятельности; </w:t>
      </w:r>
    </w:p>
    <w:p>
      <w:pPr>
        <w:jc w:val="both"/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включить учащихся в созидательную или преобразовательную деятельность, обеспечивающую эффективность действий в различных сферах приложения усилий человека как члена семьи, коллектива, гражданина своего государства и представителя всего человеческого рода; </w:t>
      </w:r>
    </w:p>
    <w:p>
      <w:pPr>
        <w:jc w:val="both"/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сформировать творчески активную личность, решающую постоянно усложняющиеся технические и технологические задачи.</w:t>
      </w:r>
    </w:p>
    <w:p>
      <w:pPr>
        <w:jc w:val="both"/>
        <w:spacing w:after="0" w:line="240" w:lineRule="atLeast"/>
        <w:rPr>
          <w:lang w:eastAsia="ru-RU"/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lang w:eastAsia="ru-RU"/>
          <w:rFonts w:ascii="Times New Roman" w:eastAsia="Times New Roman" w:hAnsi="Times New Roman" w:cs="Times New Roman"/>
          <w:color w:val="000000"/>
          <w:sz w:val="24"/>
          <w:szCs w:val="24"/>
        </w:rPr>
        <w:t>Основными  </w:t>
      </w:r>
      <w:r>
        <w:rPr>
          <w:lang w:eastAsia="ru-RU"/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целями  </w:t>
      </w:r>
      <w:r>
        <w:rPr>
          <w:lang w:eastAsia="ru-RU"/>
          <w:rFonts w:ascii="Times New Roman" w:eastAsia="Times New Roman" w:hAnsi="Times New Roman" w:cs="Times New Roman"/>
          <w:color w:val="000000"/>
          <w:sz w:val="24"/>
          <w:szCs w:val="24"/>
        </w:rPr>
        <w:t>изучения учебного предмета «Технология» в системе общего образования являются:</w:t>
      </w:r>
    </w:p>
    <w:p>
      <w:pPr>
        <w:jc w:val="both"/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Современные требования социализации в обществе в ходе технологической подготовки ставят задачу обеспечить овладение обучающимися правилами эргономики и безопасного труда, способствовать экологическому и экономическому образованию и воспитанию, становлению культуры труда.</w:t>
      </w:r>
    </w:p>
    <w:p>
      <w:pPr>
        <w:jc w:val="both"/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Целью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преподавания предмета «Технология» является практико-ориентированное общеобразовательное развитие учащихся: прагматическое обоснование цели созидательной деятельности;  </w:t>
      </w:r>
    </w:p>
    <w:p>
      <w:pPr>
        <w:jc w:val="both"/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-выбор видов и последовательности операций, гарантирующих получение запланированного результата (удовлетворение конкретной потребности) на основе использования знаний и умений о техносфере, общих и прикладных знаний по основам наук; </w:t>
      </w:r>
    </w:p>
    <w:p>
      <w:pPr>
        <w:jc w:val="both"/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выбор соответствующего материально-технического обеспечения с учётом имеющихся материально-технических возможностей; </w:t>
      </w:r>
    </w:p>
    <w:p>
      <w:pPr>
        <w:jc w:val="both"/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-создание преобразования или эффективное использование потребительных стоимостей. </w:t>
      </w:r>
    </w:p>
    <w:p>
      <w:pPr>
        <w:jc w:val="both"/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целом школьное технологическое образование придаёт формируемой у учащихся системе знаний необходимый практико-ориентированный преобразовательный аспект.</w:t>
      </w:r>
    </w:p>
    <w:p>
      <w:pPr>
        <w:adjustRightInd/>
        <w:autoSpaceDE w:val="off"/>
        <w:autoSpaceDN w:val="off"/>
        <w:spacing w:after="0" w:line="240" w:lineRule="atLeast"/>
        <w:rPr>
          <w:rFonts w:ascii="Times New Roman" w:eastAsia="Times New Roman" w:hAnsi="Times New Roman" w:cs="Times New Roman"/>
          <w:b/>
          <w:color w:val="1D1B1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1D1B11"/>
          <w:sz w:val="24"/>
          <w:szCs w:val="24"/>
        </w:rPr>
        <w:t>Периодичность и формы текущего контроля и промежуточной аттестации:</w:t>
      </w:r>
    </w:p>
    <w:p>
      <w:pPr>
        <w:pStyle w:val="aff4"/>
        <w:ind w:firstLine="0"/>
        <w:numPr>
          <w:ilvl w:val="0"/>
          <w:numId w:val="3"/>
        </w:numPr>
        <w:tabs>
          <w:tab w:val="left" w:pos="426"/>
        </w:tabs>
        <w:spacing w:after="0" w:line="240" w:lineRule="atLeast"/>
        <w:rPr>
          <w:rFonts w:ascii="Times New Roman" w:eastAsia="Times New Roman" w:hAnsi="Times New Roman"/>
          <w:sz w:val="24"/>
          <w:szCs w:val="24"/>
          <w:rtl w:val="off"/>
        </w:rPr>
      </w:pPr>
      <w:r>
        <w:rPr>
          <w:rFonts w:ascii="Times New Roman" w:eastAsia="Times New Roman" w:hAnsi="Times New Roman" w:hint="default"/>
          <w:sz w:val="24"/>
          <w:szCs w:val="24"/>
        </w:rPr>
        <w:t xml:space="preserve">устный опрос, </w:t>
      </w:r>
    </w:p>
    <w:p>
      <w:pPr>
        <w:pStyle w:val="aff4"/>
        <w:ind w:firstLine="0"/>
        <w:numPr>
          <w:ilvl w:val="0"/>
          <w:numId w:val="3"/>
        </w:numPr>
        <w:tabs>
          <w:tab w:val="left" w:pos="426"/>
        </w:tabs>
        <w:spacing w:after="0" w:line="240" w:lineRule="atLeast"/>
        <w:rPr>
          <w:rFonts w:ascii="Times New Roman" w:eastAsia="Times New Roman" w:hAnsi="Times New Roman" w:hint="default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беседы;</w:t>
      </w:r>
    </w:p>
    <w:p>
      <w:pPr>
        <w:pStyle w:val="aff4"/>
        <w:ind w:firstLine="0"/>
        <w:numPr>
          <w:ilvl w:val="0"/>
          <w:numId w:val="3"/>
        </w:numPr>
        <w:tabs>
          <w:tab w:val="left" w:pos="426"/>
        </w:tabs>
        <w:spacing w:after="0" w:line="240" w:lineRule="atLeast"/>
        <w:rPr>
          <w:rFonts w:ascii="Times New Roman" w:eastAsia="Times New Roman" w:hAnsi="Times New Roman" w:hint="default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тесты;</w:t>
      </w:r>
    </w:p>
    <w:p>
      <w:pPr>
        <w:pStyle w:val="aff4"/>
        <w:ind w:firstLine="0"/>
        <w:numPr>
          <w:ilvl w:val="0"/>
          <w:numId w:val="3"/>
        </w:numPr>
        <w:tabs>
          <w:tab w:val="left" w:pos="426"/>
        </w:tabs>
        <w:spacing w:after="0" w:line="240" w:lineRule="atLeast"/>
        <w:rPr>
          <w:rFonts w:ascii="Times New Roman" w:eastAsia="Times New Roman" w:hAnsi="Times New Roman" w:hint="default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практические работы;</w:t>
      </w:r>
    </w:p>
    <w:p>
      <w:pPr>
        <w:pStyle w:val="aff4"/>
        <w:ind w:firstLine="0"/>
        <w:numPr>
          <w:ilvl w:val="0"/>
          <w:numId w:val="3"/>
        </w:numPr>
        <w:tabs>
          <w:tab w:val="left" w:pos="426"/>
        </w:tabs>
        <w:spacing w:after="0" w:line="240" w:lineRule="atLeast"/>
        <w:rPr>
          <w:rFonts w:ascii="Times New Roman" w:eastAsia="Times New Roman" w:hAnsi="Times New Roman" w:hint="default"/>
          <w:sz w:val="24"/>
          <w:szCs w:val="24"/>
        </w:rPr>
      </w:pPr>
      <w:r>
        <w:rPr>
          <w:rFonts w:ascii="Times New Roman" w:eastAsia="Times New Roman" w:hAnsi="Times New Roman" w:hint="default"/>
          <w:sz w:val="24"/>
          <w:szCs w:val="24"/>
          <w:highlight w:val="white"/>
        </w:rPr>
        <w:t>урок – презентация</w:t>
      </w:r>
      <w:r>
        <w:rPr>
          <w:rFonts w:ascii="Times New Roman" w:eastAsia="Times New Roman" w:hAnsi="Times New Roman" w:hint="default"/>
          <w:sz w:val="24"/>
          <w:szCs w:val="24"/>
        </w:rPr>
        <w:t>;</w:t>
      </w:r>
    </w:p>
    <w:p>
      <w:pPr>
        <w:pStyle w:val="aff4"/>
        <w:ind w:firstLine="0"/>
        <w:numPr>
          <w:ilvl w:val="0"/>
          <w:numId w:val="3"/>
        </w:numPr>
        <w:tabs>
          <w:tab w:val="left" w:pos="426"/>
        </w:tabs>
        <w:spacing w:after="0" w:line="240" w:lineRule="atLeast"/>
        <w:rPr>
          <w:rFonts w:ascii="Times New Roman" w:eastAsia="Times New Roman" w:hAnsi="Times New Roman"/>
          <w:b/>
          <w:bCs/>
          <w:sz w:val="24"/>
          <w:szCs w:val="24"/>
          <w:rtl w:val="off"/>
        </w:rPr>
      </w:pPr>
      <w:r>
        <w:rPr>
          <w:rFonts w:ascii="Times New Roman" w:eastAsia="Times New Roman" w:hAnsi="Times New Roman"/>
          <w:sz w:val="24"/>
          <w:szCs w:val="24"/>
        </w:rPr>
        <w:t>проекты ( по изучению каждого раздела).</w:t>
      </w:r>
    </w:p>
    <w:p>
      <w:r>
        <w:rPr>
          <w:rFonts w:ascii="Times New Roman" w:eastAsia="Times New Roman" w:hAnsi="Times New Roman" w:hint="default"/>
          <w:b/>
          <w:bCs/>
          <w:sz w:val="24"/>
          <w:szCs w:val="24"/>
          <w:rtl w:val="off"/>
        </w:rPr>
        <w:t xml:space="preserve"> </w:t>
      </w:r>
    </w:p>
    <w:p>
      <w:pPr>
        <w:rPr/>
      </w:pPr>
    </w:p>
    <w:sectPr>
      <w:pgSz w:w="16838" w:h="11906" w:orient="landscape"/>
      <w:pgMar w:top="943" w:right="1701" w:bottom="996" w:left="1701" w:header="720" w:footer="720" w:gutter="0"/>
      <w:cols/>
      <w:docGrid w:linePitch="170" w:charSpace="170" w:type="lines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Times New Roman">
    <w:panose1 w:val="02020603050405020304"/>
    <w:charset w:val="00"/>
    <w:notTrueType w:val="false"/>
    <w:sig w:usb0="E0002EFF" w:usb1="C000785B" w:usb2="00000009" w:usb3="00000001" w:csb0="400001FF" w:csb1="FFFF0000"/>
  </w:font>
  <w:font w:name="Calibri">
    <w:panose1 w:val="020F0502020204030204"/>
    <w:charset w:val="00"/>
    <w:notTrueType w:val="false"/>
    <w:sig w:usb0="E4002EFF" w:usb1="C000247B" w:usb2="00000009" w:usb3="00000001" w:csb0="200001FF" w:csb1="00000001"/>
  </w:font>
  <w:font w:name="Symbol">
    <w:panose1 w:val="05050102010706020507"/>
    <w:charset w:val="00"/>
    <w:notTrueType w:val="false"/>
    <w:sig w:usb0="00000001" w:usb1="00000001" w:usb2="00000001" w:usb3="00000001" w:csb0="80000000" w:csb1="00000001"/>
  </w:font>
  <w:font w:name="Courier New">
    <w:panose1 w:val="02070309020205020404"/>
    <w:charset w:val="00"/>
    <w:notTrueType w:val="false"/>
    <w:sig w:usb0="E0002EFF" w:usb1="C0007843" w:usb2="00000009" w:usb3="00000001" w:csb0="400001FF" w:csb1="FFFF0000"/>
  </w:font>
  <w:font w:name="Wingdings">
    <w:panose1 w:val="05000000000000000000"/>
    <w:charset w:val="00"/>
    <w:notTrueType w:val="false"/>
    <w:sig w:usb0="00000001" w:usb1="00000001" w:usb2="00000001" w:usb3="00000001" w:csb0="80000000" w:csb1="00000001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14="http://schemas.microsoft.com/office/word/2010/wordml" xmlns:wne="http://schemas.microsoft.com/office/word/2006/wordml">
  <w:abstractNum w:abstractNumId="0">
    <w:nsid w:val="32b17ffc"/>
    <w:multiLevelType w:val="hybridMultilevel"/>
    <w:tmpl w:val="8fc29306"/>
    <w:lvl w:ilvl="0" w:tplc="4190001">
      <w:start w:val="1"/>
      <w:numFmt w:val="bullet"/>
      <w:lvlText w:val=""/>
      <w:lvlJc w:val="left"/>
      <w:pPr>
        <w:ind w:left="720" w:hanging="360"/>
        <w:tabs>
          <w:tab w:val="num" w:pos="720"/>
        </w:tabs>
      </w:pPr>
      <w:rPr>
        <w:rFonts w:ascii="Symbol" w:hAnsi="Symbol" w:hint="default"/>
      </w:rPr>
    </w:lvl>
    <w:lvl w:ilvl="1" w:tplc="4190003">
      <w:start w:val="1"/>
      <w:lvlText w:val="%2."/>
      <w:lvlJc w:val="left"/>
      <w:pPr>
        <w:ind w:left="1440" w:hanging="360"/>
        <w:tabs>
          <w:tab w:val="num" w:pos="1440"/>
        </w:tabs>
      </w:pPr>
    </w:lvl>
    <w:lvl w:ilvl="2" w:tplc="4190005">
      <w:start w:val="1"/>
      <w:lvlText w:val="%3."/>
      <w:lvlJc w:val="left"/>
      <w:pPr>
        <w:ind w:left="2160" w:hanging="360"/>
        <w:tabs>
          <w:tab w:val="num" w:pos="2160"/>
        </w:tabs>
      </w:pPr>
    </w:lvl>
    <w:lvl w:ilvl="3" w:tplc="4190001">
      <w:start w:val="1"/>
      <w:lvlText w:val="%4."/>
      <w:lvlJc w:val="left"/>
      <w:pPr>
        <w:ind w:left="2880" w:hanging="360"/>
        <w:tabs>
          <w:tab w:val="num" w:pos="2880"/>
        </w:tabs>
      </w:pPr>
    </w:lvl>
    <w:lvl w:ilvl="4" w:tplc="4190003">
      <w:start w:val="1"/>
      <w:lvlText w:val="%5."/>
      <w:lvlJc w:val="left"/>
      <w:pPr>
        <w:ind w:left="3600" w:hanging="360"/>
        <w:tabs>
          <w:tab w:val="num" w:pos="3600"/>
        </w:tabs>
      </w:pPr>
    </w:lvl>
    <w:lvl w:ilvl="5" w:tplc="4190005">
      <w:start w:val="1"/>
      <w:lvlText w:val="%6."/>
      <w:lvlJc w:val="left"/>
      <w:pPr>
        <w:ind w:left="4320" w:hanging="360"/>
        <w:tabs>
          <w:tab w:val="num" w:pos="4320"/>
        </w:tabs>
      </w:pPr>
    </w:lvl>
    <w:lvl w:ilvl="6" w:tplc="4190001">
      <w:start w:val="1"/>
      <w:lvlText w:val="%7."/>
      <w:lvlJc w:val="left"/>
      <w:pPr>
        <w:ind w:left="5040" w:hanging="360"/>
        <w:tabs>
          <w:tab w:val="num" w:pos="5040"/>
        </w:tabs>
      </w:pPr>
    </w:lvl>
    <w:lvl w:ilvl="7" w:tplc="4190003">
      <w:start w:val="1"/>
      <w:lvlText w:val="%8."/>
      <w:lvlJc w:val="left"/>
      <w:pPr>
        <w:ind w:left="5760" w:hanging="360"/>
        <w:tabs>
          <w:tab w:val="num" w:pos="5760"/>
        </w:tabs>
      </w:pPr>
    </w:lvl>
    <w:lvl w:ilvl="8" w:tplc="4190005">
      <w:start w:val="1"/>
      <w:lvlText w:val="%9."/>
      <w:lvlJc w:val="left"/>
      <w:pPr>
        <w:ind w:left="6480" w:hanging="360"/>
        <w:tabs>
          <w:tab w:val="num" w:pos="6480"/>
        </w:tabs>
      </w:pPr>
    </w:lvl>
  </w:abstractNum>
  <w:abstractNum w:abstractNumId="1">
    <w:nsid w:val="40ff3241"/>
    <w:multiLevelType w:val="hybridMultilevel"/>
    <w:tmpl w:val="5b80c440"/>
    <w:lvl w:ilvl="0" w:tplc="4ed6ec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on" w:tplc="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on" w:tplc="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on" w:tplc="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on" w:tplc="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on" w:tplc="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on" w:tplc="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on" w:tplc="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d93a7f"/>
    <w:multiLevelType w:val="hybridMultilevel"/>
    <w:tmpl w:val="cd0cc768"/>
    <w:lvl w:ilvl="0" w:tplc="4ed6ec7e">
      <w:start w:val="1"/>
      <w:numFmt w:val="bullet"/>
      <w:lvlText w:val=""/>
      <w:lvlJc w:val="left"/>
      <w:pPr>
        <w:ind w:left="0" w:firstLine="567"/>
        <w:tabs>
          <w:tab w:val="num"/>
        </w:tabs>
      </w:pPr>
      <w:rPr>
        <w:rFonts w:ascii="Symbol" w:hAnsi="Symbol" w:hint="default"/>
      </w:rPr>
    </w:lvl>
    <w:lvl w:ilvl="1" w:tentative="on" w:tplc="4190003">
      <w:start w:val="1"/>
      <w:numFmt w:val="bullet"/>
      <w:lvlText w:val="o"/>
      <w:lvlJc w:val="left"/>
      <w:pPr>
        <w:ind w:left="1440" w:hanging="360"/>
        <w:tabs>
          <w:tab w:val="num" w:pos="1440"/>
        </w:tabs>
      </w:pPr>
      <w:rPr>
        <w:rFonts w:ascii="Courier New" w:hAnsi="Courier New" w:cs="Courier New" w:hint="default"/>
      </w:rPr>
    </w:lvl>
    <w:lvl w:ilvl="2" w:tentative="on" w:tplc="4190005">
      <w:start w:val="1"/>
      <w:numFmt w:val="bullet"/>
      <w:lvlText w:val=""/>
      <w:lvlJc w:val="left"/>
      <w:pPr>
        <w:ind w:left="2160" w:hanging="360"/>
        <w:tabs>
          <w:tab w:val="num" w:pos="2160"/>
        </w:tabs>
      </w:pPr>
      <w:rPr>
        <w:rFonts w:ascii="Wingdings" w:hAnsi="Wingdings" w:hint="default"/>
      </w:rPr>
    </w:lvl>
    <w:lvl w:ilvl="3" w:tentative="on" w:tplc="4190001">
      <w:start w:val="1"/>
      <w:numFmt w:val="bullet"/>
      <w:lvlText w:val=""/>
      <w:lvlJc w:val="left"/>
      <w:pPr>
        <w:ind w:left="2880" w:hanging="360"/>
        <w:tabs>
          <w:tab w:val="num" w:pos="2880"/>
        </w:tabs>
      </w:pPr>
      <w:rPr>
        <w:rFonts w:ascii="Symbol" w:hAnsi="Symbol" w:hint="default"/>
      </w:rPr>
    </w:lvl>
    <w:lvl w:ilvl="4" w:tentative="on" w:tplc="4190003">
      <w:start w:val="1"/>
      <w:numFmt w:val="bullet"/>
      <w:lvlText w:val="o"/>
      <w:lvlJc w:val="left"/>
      <w:pPr>
        <w:ind w:left="3600" w:hanging="360"/>
        <w:tabs>
          <w:tab w:val="num" w:pos="3600"/>
        </w:tabs>
      </w:pPr>
      <w:rPr>
        <w:rFonts w:ascii="Courier New" w:hAnsi="Courier New" w:cs="Courier New" w:hint="default"/>
      </w:rPr>
    </w:lvl>
    <w:lvl w:ilvl="5" w:tentative="on" w:tplc="4190005">
      <w:start w:val="1"/>
      <w:numFmt w:val="bullet"/>
      <w:lvlText w:val=""/>
      <w:lvlJc w:val="left"/>
      <w:pPr>
        <w:ind w:left="4320" w:hanging="360"/>
        <w:tabs>
          <w:tab w:val="num" w:pos="4320"/>
        </w:tabs>
      </w:pPr>
      <w:rPr>
        <w:rFonts w:ascii="Wingdings" w:hAnsi="Wingdings" w:hint="default"/>
      </w:rPr>
    </w:lvl>
    <w:lvl w:ilvl="6" w:tentative="on" w:tplc="4190001">
      <w:start w:val="1"/>
      <w:numFmt w:val="bullet"/>
      <w:lvlText w:val=""/>
      <w:lvlJc w:val="left"/>
      <w:pPr>
        <w:ind w:left="5040" w:hanging="360"/>
        <w:tabs>
          <w:tab w:val="num" w:pos="5040"/>
        </w:tabs>
      </w:pPr>
      <w:rPr>
        <w:rFonts w:ascii="Symbol" w:hAnsi="Symbol" w:hint="default"/>
      </w:rPr>
    </w:lvl>
    <w:lvl w:ilvl="7" w:tentative="on" w:tplc="4190003">
      <w:start w:val="1"/>
      <w:numFmt w:val="bullet"/>
      <w:lvlText w:val="o"/>
      <w:lvlJc w:val="left"/>
      <w:pPr>
        <w:ind w:left="5760" w:hanging="360"/>
        <w:tabs>
          <w:tab w:val="num" w:pos="5760"/>
        </w:tabs>
      </w:pPr>
      <w:rPr>
        <w:rFonts w:ascii="Courier New" w:hAnsi="Courier New" w:cs="Courier New" w:hint="default"/>
      </w:rPr>
    </w:lvl>
    <w:lvl w:ilvl="8" w:tentative="on" w:tplc="4190005">
      <w:start w:val="1"/>
      <w:numFmt w:val="bullet"/>
      <w:lvlText w:val=""/>
      <w:lvlJc w:val="left"/>
      <w:pPr>
        <w:ind w:left="6480" w:hanging="360"/>
        <w:tabs>
          <w:tab w:val="num" w:pos="6480"/>
        </w:tabs>
      </w:pPr>
      <w:rPr>
        <w:rFonts w:ascii="Wingdings" w:hAnsi="Wingdings" w:hint="default"/>
      </w:rPr>
    </w:lvl>
  </w:abstractNum>
  <w:num w:numId="1">
    <w:abstractNumId w:va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800"/>
  <w:drawingGridHorizontalSpacing w:val="170"/>
  <w:drawingGridVerticalSpacing w:val="170"/>
  <w:displayHorizontalDrawingGridEvery w:val="2"/>
  <w:displayVerticalDrawingGridEvery w:val="2"/>
  <w:doNotShadeFormData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doNotWrapTextWithPunct/>
    <w:doNotUseEastAsianBreakRules/>
    <w:useWord2002TableStyleRules/>
    <w:growAutofit/>
    <w:useFELayout/>
    <w:doNotUseIndentAsNumberingTabStop/>
    <w:splitPgBreakAndParaMark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LA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ru-RU" w:eastAsia="en-US" w:bidi="ar-SA"/>
        <w:rFonts w:asciiTheme="minorHAnsi" w:eastAsiaTheme="minorHAnsi" w:hAnsi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style w:type="paragraph" w:default="1" w:styleId="a1">
    <w:name w:val="Normal"/>
    <w:qFormat/>
  </w:style>
  <w:style w:type="character" w:default="1" w:styleId="a2">
    <w:name w:val="Default Paragraph Font"/>
    <w:semiHidden/>
    <w:unhideWhenUsed/>
  </w:style>
  <w:style w:type="table" w:default="1" w:styleId="a3">
    <w:name w:val="Normal Table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semiHidden/>
    <w:unhideWhenUsed/>
  </w:style>
  <w:style w:type="paragraph" w:styleId="af3">
    <w:name w:val="List Paragraph"/>
    <w:basedOn w:val="a1"/>
    <w:qFormat/>
    <w:pPr>
      <w:ind w:left="720"/>
      <w:contextualSpacing/>
    </w:pPr>
  </w:style>
  <w:style w:type="paragraph" w:styleId="aff4">
    <w:name w:val="Body Text"/>
    <w:basedOn w:val="a1"/>
    <w:link w:val="Normal"/>
    <w:pPr>
      <w:spacing w:after="120"/>
    </w:pPr>
  </w:style>
  <w:style w:type="paragraph" w:styleId="aff8">
    <w:name w:val="Body Text Indent"/>
    <w:basedOn w:val="a1"/>
    <w:link w:val="Normal"/>
    <w:pPr>
      <w:ind w:left="283"/>
      <w:spacing w:after="1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fontTable" Target="fontTable.xml" /><Relationship Id="rId5" Type="http://schemas.openxmlformats.org/officeDocument/2006/relationships/webSettings" Target="webSettings.xml" /><Relationship Id="rId6" Type="http://schemas.openxmlformats.org/officeDocument/2006/relationships/numbering" Target="numbering.xml" /><Relationship Id="rId7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lastClr="000000" val="windowText"/>
      </a:dk1>
      <a:lt1>
        <a:sysClr lastClr="FFFFFF"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Gothic"/>
        <a:font script="Hang" typeface="맑은 고딕"/>
        <a:font script="Hans" typeface="SimSun"/>
        <a:font script="Hant" typeface="PMingLiU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BiauKai"/>
      </a:majorFont>
      <a:minorFont>
        <a:latin typeface="Calibri"/>
        <a:ea typeface=""/>
        <a:cs typeface=""/>
        <a:font script="Jpan" typeface="MS Mincho"/>
        <a:font script="Hang" typeface="맑은 고딕"/>
        <a:font script="Hans" typeface="SimSun"/>
        <a:font script="Hant" typeface="PMingLiU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BiauKai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user</cp:lastModifiedBy>
  <cp:revision>1</cp:revision>
  <dcterms:modified xsi:type="dcterms:W3CDTF">2021-12-02T17:01:45Z</dcterms:modified>
  <cp:version>0900.0100.01</cp:version>
</cp:coreProperties>
</file>